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48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82A40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00000" w:rsidRDefault="00E82A40">
            <w:pPr>
              <w:rPr>
                <w:rFonts w:eastAsia="Times New Roman"/>
              </w:rPr>
            </w:pPr>
          </w:p>
          <w:p w:rsidR="00000000" w:rsidRDefault="00E82A40">
            <w:pPr>
              <w:pStyle w:val="NormalWeb"/>
              <w:spacing w:after="0" w:afterAutospacing="0" w:line="200" w:lineRule="atLeast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LEY Nº 351</w:t>
            </w:r>
          </w:p>
          <w:p w:rsidR="00000000" w:rsidRDefault="00E82A40">
            <w:pPr>
              <w:pStyle w:val="NormalWeb"/>
              <w:spacing w:after="0" w:afterAutospacing="0"/>
              <w:ind w:left="320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LEY DE 19 DE MARZO DE 2013</w:t>
            </w:r>
          </w:p>
          <w:p w:rsidR="00000000" w:rsidRDefault="00E82A40">
            <w:pPr>
              <w:pStyle w:val="NormalWeb"/>
              <w:ind w:left="320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  <w:p w:rsidR="00000000" w:rsidRDefault="00E82A40">
            <w:pPr>
              <w:pStyle w:val="NormalWeb"/>
              <w:ind w:left="320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EVO MORALES AYMA</w:t>
            </w:r>
          </w:p>
          <w:p w:rsidR="00000000" w:rsidRDefault="00E82A40">
            <w:pPr>
              <w:pStyle w:val="NormalWeb"/>
              <w:ind w:left="320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PRESIDENTE CONSTITUCIONAL DEL ESTADO PLURINACIONAL DE BOLIVIA</w:t>
            </w:r>
          </w:p>
          <w:p w:rsidR="00000000" w:rsidRDefault="00E82A40">
            <w:pPr>
              <w:pStyle w:val="NormalWeb"/>
              <w:spacing w:after="0" w:afterAutospacing="0"/>
              <w:ind w:left="320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spacing w:after="120" w:afterAutospacing="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Por cuanto, la Asamblea Legislativa Plurinacional, ha sancionado la siguiente Ley: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>ASAMBLEA LEGISLATIVA PLURINACIONAL,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D E C R E T A :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LEY DE OTORGACIÓN DE PERSONALIDADES JURÍDICAS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CAPÍTULO I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DISPOSICIONES GENERALES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ARTÍCULO 1. (OBJETO).</w:t>
            </w:r>
            <w:r>
              <w:rPr>
                <w:rFonts w:ascii="Arial" w:hAnsi="Arial" w:cs="Arial"/>
              </w:rPr>
              <w:t xml:space="preserve"> La presente Ley tiene por objeto regular: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La otorgació</w:t>
            </w:r>
            <w:r>
              <w:rPr>
                <w:rFonts w:ascii="Arial" w:hAnsi="Arial" w:cs="Arial"/>
              </w:rPr>
              <w:t>n y el registro de la personalidad jurídica a organizaciones sociales, organizaciones no gubernamentales, fundaciones y entidades civiles sin fines de lucro que desarrollen actividades en más de un departamento y cuyas actividades sean no financieras.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>La otorgación y registro de la personalidad jurídica a las iglesias y las agrupaciones religiosas y de creencias espirituales, cuya finalidad no percibe lucro.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ARTÍCULO 2. (MARCO CONSTITUCIONAL).</w:t>
            </w:r>
            <w:r>
              <w:rPr>
                <w:rFonts w:ascii="Arial" w:hAnsi="Arial" w:cs="Arial"/>
              </w:rPr>
              <w:t xml:space="preserve"> 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La presente Ley se enmarca en la competencia ex</w:t>
            </w:r>
            <w:r>
              <w:rPr>
                <w:rFonts w:ascii="Arial" w:hAnsi="Arial" w:cs="Arial"/>
              </w:rPr>
              <w:t>clusiva asignada al nivel central del Estado, en los numerales 14 y 15 del Parágrafo II del Artículo 298 de la Constitución Política del Estado, respecto de la otorgación y el registro de personalidad jurídica a organizaciones sociales, organizaciones no g</w:t>
            </w:r>
            <w:r>
              <w:rPr>
                <w:rFonts w:ascii="Arial" w:hAnsi="Arial" w:cs="Arial"/>
              </w:rPr>
              <w:t>ubernamentales, fundaciones y entidades civiles sin fines de lucro que desarrollen actividades en más de un departamento.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II.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>Asimismo, la presente Ley se enmarca en lo establecido en el Parágrafo II del Artículo 297 y el Numeral 3 del Artículo 21 de la</w:t>
            </w:r>
            <w:r>
              <w:rPr>
                <w:rFonts w:ascii="Arial" w:hAnsi="Arial" w:cs="Arial"/>
              </w:rPr>
              <w:t xml:space="preserve"> Constitución Política del Estado.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ARTÍCULO 3. (ÁMBITO DE APLICACIÓN).</w:t>
            </w:r>
            <w:r>
              <w:rPr>
                <w:rFonts w:ascii="Arial" w:hAnsi="Arial" w:cs="Arial"/>
              </w:rPr>
              <w:t xml:space="preserve"> La presente Ley se aplica a: 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>Las organizaciones sociales, organizaciones no gubernamentales, fundaciones y entidades civiles sin fines de lucro que desarrollen actividades en más de un departamento y cuyas actividades sean no financieras.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Las iglesias y las agrupaciones religio</w:t>
            </w:r>
            <w:r>
              <w:rPr>
                <w:rFonts w:ascii="Arial" w:hAnsi="Arial" w:cs="Arial"/>
              </w:rPr>
              <w:t>sas y de creencias espirituales, cuya finalidad no percibe lucro.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ARTÍCULO 4. (DEFINICIONES). </w:t>
            </w:r>
            <w:r>
              <w:rPr>
                <w:rFonts w:ascii="Arial" w:hAnsi="Arial" w:cs="Arial"/>
              </w:rPr>
              <w:t>A efectos de la presente Ley y sus reglamentos, se establece las siguientes definiciones: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1"/>
              </w:numPr>
              <w:divId w:val="1652103561"/>
            </w:pPr>
            <w:r>
              <w:rPr>
                <w:b/>
                <w:bCs/>
              </w:rPr>
              <w:t>Personalidad Jurídica.</w:t>
            </w:r>
            <w:r>
              <w:t xml:space="preserve"> Es el reconocimiento jurídico a la aptitud le</w:t>
            </w:r>
            <w:r>
              <w:t>gal que se da a una entidad civil sin fines de lucro, organizaciones sociales, organizaciones no gubernamentales y fundaciones, sobre la capacidad suficiente para ser sujeto de derechos y contraer obligaciones, además de realizar actividades que generen pl</w:t>
            </w:r>
            <w:r>
              <w:t>ena responsabilidad jurídica, frente a sí mismos y frente a terceros.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2"/>
              </w:numPr>
              <w:divId w:val="1652103561"/>
            </w:pPr>
            <w:r>
              <w:rPr>
                <w:b/>
                <w:bCs/>
              </w:rPr>
              <w:t>Organizaciones Sociales.</w:t>
            </w:r>
            <w:r>
              <w:t xml:space="preserve"> Es el conjunto de personas que en atenció</w:t>
            </w:r>
            <w:r>
              <w:t>n al territorio que ocupan y/o a actividades comunes e intereses afines que desarrollan, se organizan y/o impulsan iniciativas de interés común para sus componentes y/o se organizan para el ejercicio del control social.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3"/>
              </w:numPr>
              <w:divId w:val="1652103561"/>
            </w:pPr>
            <w:r>
              <w:rPr>
                <w:b/>
                <w:bCs/>
              </w:rPr>
              <w:t>Organizaciones No Gubernamentales.</w:t>
            </w:r>
            <w:r>
              <w:t xml:space="preserve"> Son aquellas entidades de derecho privado, que poseen una naturaleza de servicio social, de asistencia, beneficencia, promoción y desarrollo económico y social, conformadas por personas nacionales y/o extranjeras, que con el debido reconocimiento del Esta</w:t>
            </w:r>
            <w:r>
              <w:t>do, realizan actividades de desarrollo y/o asistenciales sin fines de lucro y cuyas actividades sean no financieras, con fondos y/o financiamiento propio y/o de cooperación externa en el territorio del Estado.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4"/>
              </w:numPr>
              <w:divId w:val="1652103561"/>
            </w:pPr>
            <w:r>
              <w:rPr>
                <w:b/>
                <w:bCs/>
              </w:rPr>
              <w:t>Fundaciones.</w:t>
            </w:r>
            <w:r>
              <w:t xml:space="preserve"> Son aquellas entidades de derec</w:t>
            </w:r>
            <w:r>
              <w:t>ho privado que al constituirse afectan de modo duradero su patrimonio de constitución a la realización de fines especiales de interés general sin fines de lucro y cuyas actividades sean no financieras y que para desarrollar sus actividades obtienen el reco</w:t>
            </w:r>
            <w:r>
              <w:t>nocimiento del Estado.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5"/>
              </w:numPr>
              <w:divId w:val="1652103561"/>
            </w:pPr>
            <w:r>
              <w:rPr>
                <w:b/>
                <w:bCs/>
              </w:rPr>
              <w:t>Entidades Civiles sin Fines de Lucro.</w:t>
            </w:r>
            <w:r>
              <w:t xml:space="preserve"> Es el conjunto de personas de derecho privado que cuentan con el reconocimiento del Estado para realizar actividades sin fines de lucro y no financieras que tiendan al bien común.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6"/>
              </w:numPr>
              <w:divId w:val="1652103561"/>
            </w:pPr>
            <w:r>
              <w:rPr>
                <w:b/>
                <w:bCs/>
              </w:rPr>
              <w:t>Registro de</w:t>
            </w:r>
            <w:r>
              <w:rPr>
                <w:b/>
                <w:bCs/>
              </w:rPr>
              <w:t xml:space="preserve"> Otorgación de Personalidades Jurídicas.</w:t>
            </w:r>
            <w:r>
              <w:t xml:space="preserve"> Es la inscripción de la codificación y clasificación alfanumérica del documento de otorgación de la personalidad jurídica que se da a las personas colectivas, cuya información es almacenada en una base de datos. 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CAPÍTULO II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RECONOCIMIENTO DE LA PERSONALIDAD JURÍDICA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A PERSONAS COLECTIVAS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ARTÍCULO 5. (RECONOCIMIENTO). </w:t>
            </w:r>
          </w:p>
          <w:p w:rsidR="00000000" w:rsidRDefault="00E82A40">
            <w:pPr>
              <w:pStyle w:val="NormalWeb"/>
              <w:ind w:left="70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 xml:space="preserve">Las organizaciones sociales, organizaciones no gubernamentales, fundaciones y entidades civiles sin fines de lucro, cuyo ámbito de acción </w:t>
            </w:r>
            <w:r>
              <w:rPr>
                <w:rFonts w:ascii="Arial" w:hAnsi="Arial" w:cs="Arial"/>
              </w:rPr>
              <w:t>y operación sea mayor al de un departamento, deben tramitar su reconocimiento de personalidad jurídica ante la entidad competente del nivel central del Estado.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II.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El reconocimiento de la personalidad jurídica será otorgado a través de una Resolución ex</w:t>
            </w:r>
            <w:r>
              <w:rPr>
                <w:rFonts w:ascii="Arial" w:hAnsi="Arial" w:cs="Arial"/>
              </w:rPr>
              <w:t>presa.</w:t>
            </w:r>
          </w:p>
          <w:p w:rsidR="00000000" w:rsidRDefault="00E82A40">
            <w:pPr>
              <w:pStyle w:val="NormalWeb"/>
              <w:ind w:left="70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ARTÍCULO 6. (REQUISITOS). </w:t>
            </w:r>
            <w:r>
              <w:rPr>
                <w:rFonts w:ascii="Arial" w:hAnsi="Arial" w:cs="Arial"/>
              </w:rPr>
              <w:t>Son requisitos imprescindibles para el reconocimiento de la personalidad jurídica:</w:t>
            </w:r>
          </w:p>
          <w:p w:rsidR="00000000" w:rsidRDefault="00E82A40">
            <w:pPr>
              <w:pStyle w:val="NormalWeb"/>
              <w:ind w:left="70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7"/>
              </w:numPr>
              <w:divId w:val="1652103561"/>
            </w:pPr>
            <w:r>
              <w:t>Escritura pública de constitución;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8"/>
              </w:numPr>
              <w:divId w:val="1652103561"/>
            </w:pPr>
            <w:r>
              <w:t>Estatuto;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9"/>
              </w:numPr>
              <w:divId w:val="1652103561"/>
            </w:pPr>
            <w:r>
              <w:t>Reglamento Interno;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10"/>
              </w:numPr>
              <w:divId w:val="1652103561"/>
            </w:pPr>
            <w:r>
              <w:t>Actas de aprobación del Estatuto y del Reglamento Interno;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11"/>
              </w:numPr>
              <w:divId w:val="1652103561"/>
            </w:pPr>
            <w:r>
              <w:t>Poder notariado del representante legal;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12"/>
              </w:numPr>
              <w:divId w:val="1652103561"/>
            </w:pPr>
            <w:r>
              <w:t>Otros que sean determinados por la entidad competente del nivel central del Estado, conforme Reglamento.</w:t>
            </w:r>
          </w:p>
          <w:p w:rsidR="00000000" w:rsidRDefault="00E82A40">
            <w:pPr>
              <w:pStyle w:val="NormalWeb"/>
              <w:ind w:left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ARTÍCULO 7. (ESTATUTOS). 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Los estatutos dentro de su contenido deben indicar mínimamente:</w:t>
            </w:r>
          </w:p>
          <w:p w:rsidR="00000000" w:rsidRDefault="00E82A40">
            <w:pPr>
              <w:pStyle w:val="NormalWeb"/>
              <w:ind w:left="70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13"/>
              </w:numPr>
              <w:divId w:val="1652103561"/>
            </w:pPr>
            <w:r>
              <w:t>Denomina</w:t>
            </w:r>
            <w:r>
              <w:t>ción, naturaleza y domicilio;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14"/>
              </w:numPr>
              <w:divId w:val="1652103561"/>
            </w:pPr>
            <w:r>
              <w:t>Objeto y fines;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15"/>
              </w:numPr>
              <w:divId w:val="1652103561"/>
            </w:pPr>
            <w:r>
              <w:t>De los miembros, derechos y obligaciones;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16"/>
              </w:numPr>
              <w:divId w:val="1652103561"/>
            </w:pPr>
            <w:r>
              <w:t>Organización, estructura interna y atribuciones;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17"/>
              </w:numPr>
              <w:divId w:val="1652103561"/>
            </w:pPr>
            <w:r>
              <w:t>Patrimonio y régimen económico;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18"/>
              </w:numPr>
              <w:divId w:val="1652103561"/>
            </w:pPr>
            <w:r>
              <w:t>Régimen interno de admisión y exclusión de los miembros;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19"/>
              </w:numPr>
              <w:divId w:val="1652103561"/>
            </w:pPr>
            <w:r>
              <w:t>Ré</w:t>
            </w:r>
            <w:r>
              <w:t>gimen disciplinario;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20"/>
              </w:numPr>
              <w:divId w:val="1652103561"/>
            </w:pPr>
            <w:r>
              <w:t>Modificación de los estatutos;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21"/>
              </w:numPr>
              <w:divId w:val="1652103561"/>
            </w:pPr>
            <w:r>
              <w:t>Régimen referente a la extinción, disolución y liquidación de la entidad.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Los estatutos de las organizaciones no gubernamentales y fundaciones, deberán mencionar en su contenido, adicionalmente</w:t>
            </w:r>
            <w:r>
              <w:rPr>
                <w:rFonts w:ascii="Arial" w:hAnsi="Arial" w:cs="Arial"/>
              </w:rPr>
              <w:t xml:space="preserve"> a lo requerido en el parágrafo anterior:</w:t>
            </w:r>
          </w:p>
          <w:p w:rsidR="00000000" w:rsidRDefault="00E82A40">
            <w:pPr>
              <w:pStyle w:val="NormalWeb"/>
              <w:ind w:left="70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22"/>
              </w:numPr>
              <w:divId w:val="1652103561"/>
            </w:pPr>
            <w:r>
              <w:t>La contribución al desarrollo económico y social;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23"/>
              </w:numPr>
              <w:divId w:val="1652103561"/>
            </w:pPr>
            <w:r>
              <w:t>El detalle de la afectación de bienes, en el caso de las fundaciones.</w:t>
            </w:r>
          </w:p>
          <w:p w:rsidR="00000000" w:rsidRDefault="00E82A40">
            <w:pPr>
              <w:pStyle w:val="NormalWeb"/>
              <w:ind w:left="70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>Las organizaciones sociales, organizaciones no gubernamentales, fundaciones y entidades civiles sin fines de lucro, deberán registrar periódicamente sus fuentes de financiamiento, ante la autoridad competente.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000000" w:rsidRDefault="00E82A40">
            <w:pPr>
              <w:pStyle w:val="NormalWeb"/>
              <w:ind w:left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ARTÍCULO 8. (ENTIDAD COMPETENTE). </w:t>
            </w:r>
            <w:r>
              <w:rPr>
                <w:rFonts w:ascii="Arial" w:hAnsi="Arial" w:cs="Arial"/>
              </w:rPr>
              <w:t>El Minist</w:t>
            </w:r>
            <w:r>
              <w:rPr>
                <w:rFonts w:ascii="Arial" w:hAnsi="Arial" w:cs="Arial"/>
              </w:rPr>
              <w:t>erio de Autonomías se constituye en la entidad competente de la otorgación y registro de la personalidad jurídica a las organizaciones sociales, organizaciones no gubernamentales, fundaciones y entidades civiles sin fines de lucro, cuyo ámbito de acción se</w:t>
            </w:r>
            <w:r>
              <w:rPr>
                <w:rFonts w:ascii="Arial" w:hAnsi="Arial" w:cs="Arial"/>
              </w:rPr>
              <w:t>a mayor a un departamento.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ARTÍCULO 9. (ENTES DE COORDINACIÓN). </w:t>
            </w:r>
            <w:r>
              <w:rPr>
                <w:rFonts w:ascii="Arial" w:hAnsi="Arial" w:cs="Arial"/>
              </w:rPr>
              <w:t>Las personas colectivas podrán conformar y constituir redes institucionales u otros entes de coordinación y relacionamiento, debiendo para ello tramitar sus respectivas personerías jurídicas</w:t>
            </w:r>
            <w:r>
              <w:rPr>
                <w:rFonts w:ascii="Arial" w:hAnsi="Arial" w:cs="Arial"/>
              </w:rPr>
              <w:t>, en sujeción a la presente Ley y sus reglamentos.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ARTÍCULO 10. (DENOMINACIÓN). 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>Las Organizaciones No Gubernamentales deben incluir la sigla “ONG” antecediendo al nombre de la entidad.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Las fundaciones deben incluir el prefijo “Fundación” an</w:t>
            </w:r>
            <w:r>
              <w:rPr>
                <w:rFonts w:ascii="Arial" w:hAnsi="Arial" w:cs="Arial"/>
              </w:rPr>
              <w:t>tecediendo al nombre de la entidad.</w:t>
            </w:r>
          </w:p>
          <w:p w:rsidR="00000000" w:rsidRDefault="00E82A40">
            <w:pPr>
              <w:pStyle w:val="NormalWeb"/>
              <w:ind w:left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ARTÍCULO 11. (PROHIBICIÓN DE TRANSFERENCIA DE PERSONALIDAD JURÍDICA).</w:t>
            </w:r>
            <w:r>
              <w:rPr>
                <w:rFonts w:ascii="Arial" w:hAnsi="Arial" w:cs="Arial"/>
              </w:rPr>
              <w:t xml:space="preserve"> Se prohíbe toda forma de transferencia y/o comercialización de la personalidad jurídica de las personas colectivas.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ARTÍCULO 12. (MODIFICACIONES).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Toda modificación a los Estatutos y Reglamentos Internos serán tramitados de acuerdo a lo dispuesto por la reglamentación de la presente Ley.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ARTÍCULO 13. (ORGANIZACIONES NO GUBERNAMENTALES – ONG’s Y FUNDACIONES EXTRANJERAS).</w:t>
            </w:r>
            <w:r>
              <w:rPr>
                <w:rFonts w:ascii="Arial" w:hAnsi="Arial" w:cs="Arial"/>
              </w:rPr>
              <w:t xml:space="preserve"> Las organizaciones no guber</w:t>
            </w:r>
            <w:r>
              <w:rPr>
                <w:rFonts w:ascii="Arial" w:hAnsi="Arial" w:cs="Arial"/>
              </w:rPr>
              <w:t>namentales y fundaciones constituidas en el extranjero, deberán tramitar ante el Ministerio de Relaciones Exteriores y las entidades competentes del nivel central del Estado, la suscripción de un acuerdo marco de cooperación básica con el Estado Plurinacio</w:t>
            </w:r>
            <w:r>
              <w:rPr>
                <w:rFonts w:ascii="Arial" w:hAnsi="Arial" w:cs="Arial"/>
              </w:rPr>
              <w:t>nal de Bolivia, que les permita operar legalmente en el territorio.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ARTÍCULO 14. (REVOCATORIA DE PERSONALIDAD JURÍDICA). </w:t>
            </w:r>
            <w:r>
              <w:rPr>
                <w:rFonts w:ascii="Arial" w:hAnsi="Arial" w:cs="Arial"/>
              </w:rPr>
              <w:t>Será revocada la personalidad jurídica a aquellas personas colectivas que: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24"/>
              </w:numPr>
              <w:divId w:val="1652103561"/>
            </w:pPr>
            <w:r>
              <w:t>Incumplan lo dispuesto por la presente Ley y sus reglame</w:t>
            </w:r>
            <w:r>
              <w:t>ntos;</w:t>
            </w:r>
          </w:p>
          <w:p w:rsidR="00000000" w:rsidRDefault="00E82A40">
            <w:pPr>
              <w:pStyle w:val="NormalWeb"/>
              <w:ind w:left="1400" w:hanging="56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numPr>
                <w:ilvl w:val="0"/>
                <w:numId w:val="25"/>
              </w:numPr>
              <w:divId w:val="1652103561"/>
            </w:pPr>
            <w:r>
              <w:t>Realicen actividades distintas a las finalidades señaladas en sus estatutos.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CAPÍTULO III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RECONOCIMIENTO DE LA PERSONALIDAD JURÍDICA A LAS ORGANIZACIONES RELIGIOSAS Y ESPIRITUALES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ARTÍCULO 15. (ORGANIZACIONES RELIGIOSAS Y ESPIRITUALES).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Las organizaciones religiosas y espirituales son el conjunto de personas naturales, nacionales y/o extranjeras que realizan prácticas de culto y/o creencias para el desarrollo espiritual y/o religiosas en el horizonte del Vivir Bien, cuya finalidad no pers</w:t>
            </w:r>
            <w:r>
              <w:rPr>
                <w:rFonts w:ascii="Arial" w:hAnsi="Arial" w:cs="Arial"/>
              </w:rPr>
              <w:t>igue lucro.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ARTÍCULO 16. (MATERIA COMPETENCIAL). 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>En respeto y garantía del derecho a la creencia religiosa y espiritual de las naciones y pueblos indígena originario campesinos y la libertad de religión y creencias espirituales, se reconoce la oto</w:t>
            </w:r>
            <w:r>
              <w:rPr>
                <w:rFonts w:ascii="Arial" w:hAnsi="Arial" w:cs="Arial"/>
              </w:rPr>
              <w:t>rgación de personalidad jurídica a las organizaciones religiosas y espirituales.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En el marco del Artículo 297, Parágrafo II, de la Constitución Política del Estado, la otorgación de personalidad jurídica a las organizaciones religiosas y/o espiritua</w:t>
            </w:r>
            <w:r>
              <w:rPr>
                <w:rFonts w:ascii="Arial" w:hAnsi="Arial" w:cs="Arial"/>
              </w:rPr>
              <w:t xml:space="preserve">les, así como su regulación, registro y control, compete al nivel central del Estado Plurinacional de Bolivia. 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ARTÍCULO 17. (PERSONALIDAD JURÍDICA DE LAS ORGANIZACIONES RELIGIOSAS Y ESPIRITUALES). 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>Las iglesias y las agrupaciones religiosas y de c</w:t>
            </w:r>
            <w:r>
              <w:rPr>
                <w:rFonts w:ascii="Arial" w:hAnsi="Arial" w:cs="Arial"/>
              </w:rPr>
              <w:t>reencias espirituales establecidas en el marco constitucional, tendrán personalidad jurídica como organizaciones religiosas y espirituales, cuya otorgación se tramitará ante el Ministerio de Relaciones Exteriores, para su reconocimiento formal por el Minis</w:t>
            </w:r>
            <w:r>
              <w:rPr>
                <w:rFonts w:ascii="Arial" w:hAnsi="Arial" w:cs="Arial"/>
              </w:rPr>
              <w:t>terio de la Presidencia, mediante Resolución Suprema.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II.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>A efectos de su constitución y reconocimiento, las organizaciones religiosas y espirituales, deberán presentar la documentación y requisitos exigidos por el Ministerio de Relaciones Exteriores, s</w:t>
            </w:r>
            <w:r>
              <w:rPr>
                <w:rFonts w:ascii="Arial" w:hAnsi="Arial" w:cs="Arial"/>
              </w:rPr>
              <w:t>egún Reglamento.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left="840" w:hanging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El funcionamiento, la supervisión y la revocatoria de la personalidad jurídica de las organizaciones religiosas y espirituales, así como el registro para la otorgación de su personalidad jurídica, se sujetará a reglamentación. 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DISPOSICIÓNES TRANSITORIAS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PRIMERA. </w:t>
            </w:r>
            <w:r>
              <w:rPr>
                <w:rFonts w:ascii="Arial" w:hAnsi="Arial" w:cs="Arial"/>
              </w:rPr>
              <w:t>La presente Ley podrá ser utilizada de forma supletoria por los Gobiernos Autónomos Departamentales, en conformidad a lo dispuesto por el Artículo 11 de la Ley Nº 031 de 19 de julio de 2010, Marco de Autonomí</w:t>
            </w:r>
            <w:r>
              <w:rPr>
                <w:rFonts w:ascii="Arial" w:hAnsi="Arial" w:cs="Arial"/>
              </w:rPr>
              <w:t>as y Descentralización “Andrés Ibáñez”.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divId w:val="1652103561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SEGUNDA.</w:t>
            </w:r>
            <w:r>
              <w:rPr>
                <w:rFonts w:ascii="Arial" w:hAnsi="Arial" w:cs="Arial"/>
              </w:rPr>
              <w:t xml:space="preserve"> El Reglamento de la presente Ley será aprobado mediante Decreto Supremo, a propuesta del Ministerio de Autonomías, en coordinació</w:t>
            </w:r>
            <w:r>
              <w:rPr>
                <w:rFonts w:ascii="Arial" w:hAnsi="Arial" w:cs="Arial"/>
              </w:rPr>
              <w:t>n con el Ministerio de Relaciones Exteriores, en un plazo no mayor a sesenta (60) días hábiles a partir de la publicación de la presente Ley.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TERCERA. </w:t>
            </w:r>
            <w:r>
              <w:rPr>
                <w:rFonts w:ascii="Arial" w:hAnsi="Arial" w:cs="Arial"/>
              </w:rPr>
              <w:t>Para fines de registro, las personas colectivas que desarrollan actividades en más de un Departamento y</w:t>
            </w:r>
            <w:r>
              <w:rPr>
                <w:rFonts w:ascii="Arial" w:hAnsi="Arial" w:cs="Arial"/>
              </w:rPr>
              <w:t xml:space="preserve"> que obtuvieron su personería jurídica con anterioridad a la vigencia de la presente Ley, deberán presentar ante el Ministerio de Autonomías una copia legalizada de su personería jurídica en el plazo de un (1) año a partir de la publicación de la presente </w:t>
            </w:r>
            <w:r>
              <w:rPr>
                <w:rFonts w:ascii="Arial" w:hAnsi="Arial" w:cs="Arial"/>
              </w:rPr>
              <w:t>Ley.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CUARTA. </w:t>
            </w:r>
            <w:r>
              <w:rPr>
                <w:rFonts w:ascii="Arial" w:hAnsi="Arial" w:cs="Arial"/>
              </w:rPr>
              <w:t>En el plazo de dos (2) años a partir de la publicación de la presente Ley, las asociaciones religiosas con personalidad jurídica legalmente reconocidas, realizarán el trámite de homologación ante el Ministerio de Relaciones Exteriores. Trans</w:t>
            </w:r>
            <w:r>
              <w:rPr>
                <w:rFonts w:ascii="Arial" w:hAnsi="Arial" w:cs="Arial"/>
              </w:rPr>
              <w:t>currido ese plazo y no habiéndose solicitado su homologación, el Ministerio de Relaciones Exteriores procederá a la revocatoria de la personalidad jurídica otorgada.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DISPOSICIÓN ABROGATORIA Y DEROGATORIA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ÚNICA. </w:t>
            </w:r>
            <w:r>
              <w:rPr>
                <w:rFonts w:ascii="Arial" w:hAnsi="Arial" w:cs="Arial"/>
              </w:rPr>
              <w:t>Se abrogan y derogan todas las disposicio</w:t>
            </w:r>
            <w:r>
              <w:rPr>
                <w:rFonts w:ascii="Arial" w:hAnsi="Arial" w:cs="Arial"/>
              </w:rPr>
              <w:t>nes contrarias a la presente Ley.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jc w:val="center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DISPOSICIÓN FINAL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trike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ÚNICA.</w:t>
            </w:r>
            <w:r>
              <w:rPr>
                <w:rFonts w:ascii="Arial" w:hAnsi="Arial" w:cs="Arial"/>
              </w:rPr>
              <w:t xml:space="preserve"> Para fines de compatibilización de información, los Gobiernos Autónomos Departamentales, remitirán al Ministerio de Autonomías el detalle de las personalidades jurídicas de personas colectivas </w:t>
            </w:r>
            <w:r>
              <w:rPr>
                <w:rFonts w:ascii="Arial" w:hAnsi="Arial" w:cs="Arial"/>
              </w:rPr>
              <w:t>registradas, de acuerdo a Reglamento.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Remítase al Órgano Ejecutivo, para fines Constitucionales.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Es dada en la Sala de la Asamblea Legislativa Plurinacional, a los cinco días del mes de marzo de dos mil trece años.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70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 xml:space="preserve">Fdo. Lilly Gabriela Montaño Viaña, </w:t>
            </w:r>
            <w:r>
              <w:rPr>
                <w:rFonts w:ascii="Arial" w:hAnsi="Arial" w:cs="Arial"/>
              </w:rPr>
              <w:t>Lucio Marca Mamani, Claudia Jimena Torres Chávez, Marcelina Chavez Salazar, Marcelo William Elío Chávez, Ángel David Cortéz Villegas.</w:t>
            </w:r>
          </w:p>
          <w:p w:rsidR="00000000" w:rsidRDefault="00E82A40">
            <w:pPr>
              <w:pStyle w:val="NormalWeb"/>
              <w:ind w:firstLine="70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Por tanto, la promulgo para que se tenga y cumpla como Ley del Estado Plurinacional de Bolivia.</w:t>
            </w:r>
          </w:p>
          <w:p w:rsidR="00000000" w:rsidRDefault="00E82A40">
            <w:pPr>
              <w:pStyle w:val="NormalWeb"/>
              <w:ind w:firstLine="70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70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Palacio de Gobierno de l</w:t>
            </w:r>
            <w:r>
              <w:rPr>
                <w:rFonts w:ascii="Arial" w:hAnsi="Arial" w:cs="Arial"/>
              </w:rPr>
              <w:t>a ciudad de La Paz a los diecinueve días del mes de marzo del año dos mil trece.</w:t>
            </w:r>
          </w:p>
          <w:p w:rsidR="00000000" w:rsidRDefault="00E82A40">
            <w:pPr>
              <w:pStyle w:val="NormalWeb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ind w:firstLine="84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 xml:space="preserve">FDO. EVO MORALES AYMA, </w:t>
            </w:r>
            <w:r>
              <w:rPr>
                <w:rFonts w:ascii="Arial" w:hAnsi="Arial" w:cs="Arial"/>
              </w:rPr>
              <w:t>David Choquehuanca Céspedes MINISTRO DE RELACIONES EXTERIORES E INTERINO DE LA PRESIDENCIA, Cecilia Luisa Ayllon Quinteros, Claudia Stacy Peña Claros,</w:t>
            </w:r>
            <w:r>
              <w:rPr>
                <w:rFonts w:ascii="Arial" w:hAnsi="Arial" w:cs="Arial"/>
              </w:rPr>
              <w:t xml:space="preserve"> Amanda Dávila Torres. </w:t>
            </w:r>
          </w:p>
          <w:p w:rsidR="00000000" w:rsidRDefault="00E82A40">
            <w:pPr>
              <w:pStyle w:val="NormalWeb"/>
              <w:spacing w:after="0" w:afterAutospacing="0"/>
              <w:divId w:val="16521035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E82A40">
            <w:pPr>
              <w:pStyle w:val="NormalWeb"/>
              <w:rPr>
                <w:color w:val="auto"/>
              </w:rPr>
            </w:pPr>
            <w:r>
              <w:rPr>
                <w:rStyle w:val="Textoennegrita"/>
                <w:color w:val="auto"/>
              </w:rPr>
              <w:lastRenderedPageBreak/>
              <w:t>SUSCRIPCION OBLIGATORIA</w:t>
            </w:r>
            <w:r>
              <w:rPr>
                <w:color w:val="auto"/>
              </w:rPr>
              <w:t xml:space="preserve"> </w:t>
            </w:r>
          </w:p>
          <w:p w:rsidR="00000000" w:rsidRDefault="00E82A40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Style w:val="Textoennegrita"/>
                <w:rFonts w:eastAsia="Times New Roman"/>
                <w:color w:val="auto"/>
              </w:rPr>
              <w:t>DECRETO SUPREMO Nº 690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000000" w:rsidRDefault="00E82A40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br/>
            </w:r>
            <w:r>
              <w:rPr>
                <w:rStyle w:val="Textoennegrita"/>
                <w:rFonts w:eastAsia="Times New Roman"/>
                <w:color w:val="auto"/>
              </w:rPr>
              <w:t xml:space="preserve">03 DE NOVIEMBRE DE 2010 .- </w:t>
            </w:r>
            <w:r>
              <w:rPr>
                <w:rFonts w:eastAsia="Times New Roman"/>
                <w:color w:val="auto"/>
              </w:rPr>
              <w:t>Dispone la suscripción obligatoria, sin excepción alguna, de todas las entidades del sector pú</w:t>
            </w:r>
            <w:r>
              <w:rPr>
                <w:rFonts w:eastAsia="Times New Roman"/>
                <w:color w:val="auto"/>
              </w:rPr>
              <w:t xml:space="preserve">blico que conforman la estructura organizativa del Organo Ejecutivo, así como de entidades y empresas públicas que se encuentran bajo su dependencia o tuición, a la Gaceta Oficial de Bolivia, dependiente del Ministerio de la Presidencia, para la obtención </w:t>
            </w:r>
            <w:r>
              <w:rPr>
                <w:rFonts w:eastAsia="Times New Roman"/>
                <w:color w:val="auto"/>
              </w:rPr>
              <w:t>física de Leyes, Decretos y Resoluciones Supremas.</w:t>
            </w:r>
            <w:r>
              <w:rPr>
                <w:rFonts w:eastAsia="Times New Roman"/>
                <w:color w:val="auto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82A40">
            <w:pPr>
              <w:jc w:val="right"/>
              <w:rPr>
                <w:rFonts w:eastAsia="Times New Roman"/>
                <w:color w:val="auto"/>
              </w:rPr>
            </w:pPr>
          </w:p>
          <w:p w:rsidR="00000000" w:rsidRDefault="00E82A40">
            <w:pPr>
              <w:jc w:val="righ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000000" w:rsidRDefault="00E82A40">
            <w:pPr>
              <w:jc w:val="right"/>
              <w:rPr>
                <w:rFonts w:eastAsia="Times New Roman"/>
                <w:color w:val="auto"/>
              </w:rPr>
            </w:pPr>
            <w:r>
              <w:rPr>
                <w:rStyle w:val="Textoennegrita"/>
                <w:rFonts w:ascii="Arial" w:eastAsia="Times New Roman" w:hAnsi="Arial" w:cs="Arial"/>
                <w:color w:val="auto"/>
                <w:sz w:val="17"/>
                <w:szCs w:val="17"/>
              </w:rPr>
              <w:t>TEXTO DE CONSULTA</w:t>
            </w:r>
            <w:r>
              <w:rPr>
                <w:rStyle w:val="Textoennegrita"/>
                <w:rFonts w:ascii="Arial" w:eastAsia="Times New Roman" w:hAnsi="Arial" w:cs="Arial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7"/>
                <w:szCs w:val="17"/>
              </w:rPr>
              <w:br/>
              <w:t xml:space="preserve">Gaceta Oficial del Estado Plurinacional de Bolivia </w:t>
            </w:r>
            <w:r>
              <w:rPr>
                <w:rFonts w:ascii="Arial" w:eastAsia="Times New Roman" w:hAnsi="Arial" w:cs="Arial"/>
                <w:color w:val="auto"/>
                <w:sz w:val="17"/>
                <w:szCs w:val="17"/>
              </w:rPr>
              <w:br/>
              <w:t xml:space="preserve">Derechos Reservados © 2014 </w:t>
            </w:r>
            <w:r>
              <w:rPr>
                <w:rFonts w:ascii="Arial" w:eastAsia="Times New Roman" w:hAnsi="Arial" w:cs="Arial"/>
                <w:color w:val="auto"/>
                <w:sz w:val="17"/>
                <w:szCs w:val="17"/>
              </w:rPr>
              <w:br/>
            </w:r>
            <w:r>
              <w:rPr>
                <w:rStyle w:val="Textoennegrita"/>
                <w:rFonts w:ascii="Arial" w:eastAsia="Times New Roman" w:hAnsi="Arial" w:cs="Arial"/>
                <w:color w:val="auto"/>
                <w:sz w:val="17"/>
                <w:szCs w:val="17"/>
              </w:rPr>
              <w:t>www.gacetaoficialdebolivia.gob.b</w:t>
            </w:r>
            <w:r>
              <w:rPr>
                <w:rStyle w:val="Textoennegrita"/>
                <w:rFonts w:ascii="Arial" w:eastAsia="Times New Roman" w:hAnsi="Arial" w:cs="Arial"/>
                <w:color w:val="auto"/>
                <w:sz w:val="17"/>
                <w:szCs w:val="17"/>
              </w:rPr>
              <w:t>o</w:t>
            </w:r>
          </w:p>
        </w:tc>
      </w:tr>
    </w:tbl>
    <w:p w:rsidR="00E82A40" w:rsidRDefault="00E82A40">
      <w:pPr>
        <w:rPr>
          <w:rFonts w:eastAsia="Times New Roman"/>
          <w:color w:val="auto"/>
        </w:rPr>
      </w:pPr>
    </w:p>
    <w:sectPr w:rsidR="00E82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6D21"/>
    <w:multiLevelType w:val="multilevel"/>
    <w:tmpl w:val="CAD49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92740"/>
    <w:multiLevelType w:val="multilevel"/>
    <w:tmpl w:val="13EE0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B2D39"/>
    <w:multiLevelType w:val="multilevel"/>
    <w:tmpl w:val="3BCEC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B5143"/>
    <w:multiLevelType w:val="multilevel"/>
    <w:tmpl w:val="86EC6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0457E"/>
    <w:multiLevelType w:val="multilevel"/>
    <w:tmpl w:val="8D86C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75333"/>
    <w:multiLevelType w:val="multilevel"/>
    <w:tmpl w:val="FF32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42FF0"/>
    <w:multiLevelType w:val="multilevel"/>
    <w:tmpl w:val="747A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E31F8"/>
    <w:multiLevelType w:val="multilevel"/>
    <w:tmpl w:val="724680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9712B"/>
    <w:multiLevelType w:val="multilevel"/>
    <w:tmpl w:val="C09A5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75B3A"/>
    <w:multiLevelType w:val="multilevel"/>
    <w:tmpl w:val="F8C06D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ED4880"/>
    <w:multiLevelType w:val="multilevel"/>
    <w:tmpl w:val="4E486F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6B254C"/>
    <w:multiLevelType w:val="multilevel"/>
    <w:tmpl w:val="25266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D7112"/>
    <w:multiLevelType w:val="multilevel"/>
    <w:tmpl w:val="2DBCD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86192D"/>
    <w:multiLevelType w:val="multilevel"/>
    <w:tmpl w:val="24FC4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31147"/>
    <w:multiLevelType w:val="multilevel"/>
    <w:tmpl w:val="0AB04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C535C"/>
    <w:multiLevelType w:val="multilevel"/>
    <w:tmpl w:val="608A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D224BC"/>
    <w:multiLevelType w:val="multilevel"/>
    <w:tmpl w:val="0ABE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81C33"/>
    <w:multiLevelType w:val="multilevel"/>
    <w:tmpl w:val="08EEF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5771E"/>
    <w:multiLevelType w:val="multilevel"/>
    <w:tmpl w:val="1ABADA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5D29F7"/>
    <w:multiLevelType w:val="multilevel"/>
    <w:tmpl w:val="67CE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DD2C6B"/>
    <w:multiLevelType w:val="multilevel"/>
    <w:tmpl w:val="78B89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D1919"/>
    <w:multiLevelType w:val="multilevel"/>
    <w:tmpl w:val="1B4EF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79365E"/>
    <w:multiLevelType w:val="multilevel"/>
    <w:tmpl w:val="EDDC96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CA57A6"/>
    <w:multiLevelType w:val="multilevel"/>
    <w:tmpl w:val="76F4E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5A4074"/>
    <w:multiLevelType w:val="multilevel"/>
    <w:tmpl w:val="B7F26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4"/>
  </w:num>
  <w:num w:numId="5">
    <w:abstractNumId w:val="20"/>
  </w:num>
  <w:num w:numId="6">
    <w:abstractNumId w:val="7"/>
  </w:num>
  <w:num w:numId="7">
    <w:abstractNumId w:val="6"/>
  </w:num>
  <w:num w:numId="8">
    <w:abstractNumId w:val="3"/>
  </w:num>
  <w:num w:numId="9">
    <w:abstractNumId w:val="23"/>
  </w:num>
  <w:num w:numId="10">
    <w:abstractNumId w:val="12"/>
  </w:num>
  <w:num w:numId="11">
    <w:abstractNumId w:val="24"/>
  </w:num>
  <w:num w:numId="12">
    <w:abstractNumId w:val="9"/>
  </w:num>
  <w:num w:numId="13">
    <w:abstractNumId w:val="19"/>
  </w:num>
  <w:num w:numId="14">
    <w:abstractNumId w:val="0"/>
  </w:num>
  <w:num w:numId="15">
    <w:abstractNumId w:val="11"/>
  </w:num>
  <w:num w:numId="16">
    <w:abstractNumId w:val="13"/>
  </w:num>
  <w:num w:numId="17">
    <w:abstractNumId w:val="18"/>
  </w:num>
  <w:num w:numId="18">
    <w:abstractNumId w:val="1"/>
  </w:num>
  <w:num w:numId="19">
    <w:abstractNumId w:val="22"/>
  </w:num>
  <w:num w:numId="20">
    <w:abstractNumId w:val="2"/>
  </w:num>
  <w:num w:numId="21">
    <w:abstractNumId w:val="10"/>
  </w:num>
  <w:num w:numId="22">
    <w:abstractNumId w:val="5"/>
  </w:num>
  <w:num w:numId="23">
    <w:abstractNumId w:val="8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3FC4"/>
    <w:rsid w:val="00185E73"/>
    <w:rsid w:val="00293FC4"/>
    <w:rsid w:val="00E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232742-A575-4959-A3BD-D51A1E0F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SUPREMO N 3453</vt:lpstr>
    </vt:vector>
  </TitlesOfParts>
  <Company/>
  <LinksUpToDate>false</LinksUpToDate>
  <CharactersWithSpaces>12900</CharactersWithSpaces>
  <SharedDoc>false</SharedDoc>
  <HyperlinkBase>C:\Documents and Settings\Sistemas\Escritorio\GACETA\500NEC\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SUPREMO N 3453</dc:title>
  <dc:subject/>
  <dc:creator>pc</dc:creator>
  <cp:keywords/>
  <dc:description/>
  <cp:lastModifiedBy>pc</cp:lastModifiedBy>
  <cp:revision>2</cp:revision>
  <dcterms:created xsi:type="dcterms:W3CDTF">2014-05-28T16:34:00Z</dcterms:created>
  <dcterms:modified xsi:type="dcterms:W3CDTF">2014-05-28T16:34:00Z</dcterms:modified>
</cp:coreProperties>
</file>