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421A">
            <w:pPr>
              <w:rPr>
                <w:rFonts w:eastAsia="Times New Roman"/>
              </w:rPr>
            </w:pPr>
          </w:p>
          <w:p w:rsidR="00000000" w:rsidRDefault="00C3421A">
            <w:pPr>
              <w:rPr>
                <w:rFonts w:eastAsia="Times New Roman"/>
              </w:rPr>
            </w:pP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DECRETO SUPREMO N° 1807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EVO MORALES AYMA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CONSTITUCIONAL DEL ESTADO PLURINACIONAL DE BOLIVIA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 O N S I D E R A N D O: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Que el numeral 4 del Artículo 9 de la Constitución Polí</w:t>
            </w:r>
            <w:r>
              <w:rPr>
                <w:rFonts w:ascii="Arial" w:hAnsi="Arial" w:cs="Arial"/>
              </w:rPr>
              <w:t>tica del Estado, determina como uno de los fines y funciones esenciales del Estado, garantizar el cumplimiento de los principios, valores, derechos y deberes reconocidos y consagrados en la Constitución.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Que el Parágrafo I del Artículo 67 del Texto Const</w:t>
            </w:r>
            <w:r>
              <w:rPr>
                <w:rFonts w:ascii="Arial" w:hAnsi="Arial" w:cs="Arial"/>
              </w:rPr>
              <w:t>itucional, establece que además de los derechos reconocidos en la Constitución, todas las personas adultas mayores tienen derecho a una vejez digna, con calidad y calidez humana.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Que los Parágrafos I y II del Artículo 68 de la Constitución Política del E</w:t>
            </w:r>
            <w:r>
              <w:rPr>
                <w:rFonts w:ascii="Arial" w:hAnsi="Arial" w:cs="Arial"/>
              </w:rPr>
              <w:t>stado, disponen que el Estado adoptará políticas públicas para la protección, atención, recreación, descanso y ocupación social de las personas adultas mayores, de acuerdo con sus capacidades y posibilidades; y prohíbe y sanciona toda forma de maltrato, ab</w:t>
            </w:r>
            <w:r>
              <w:rPr>
                <w:rFonts w:ascii="Arial" w:hAnsi="Arial" w:cs="Arial"/>
              </w:rPr>
              <w:t>andono, violencia y discriminación a las personas adultas mayores.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Que el Artículo 1 de la Ley Nº 369, de 1 de mayo de 2013, Ley General de las Personas Adultas Mayores, tiene por objeto regular los derechos, garantías y deberes de las personas adultas m</w:t>
            </w:r>
            <w:r>
              <w:rPr>
                <w:rFonts w:ascii="Arial" w:hAnsi="Arial" w:cs="Arial"/>
              </w:rPr>
              <w:t xml:space="preserve">ayores, así como la institucionalidad para su protección. 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Que la Disposición Transitoria Primera de la Ley Nº 369, establece que el Órgano Ejecutivo en un plazo no mayor a ciento veinte (120) días a partir de su promulgación, aprobará el Decreto Supremo</w:t>
            </w:r>
            <w:r>
              <w:rPr>
                <w:rFonts w:ascii="Arial" w:hAnsi="Arial" w:cs="Arial"/>
              </w:rPr>
              <w:t xml:space="preserve"> reglamentario. 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Que es necesario emitir un Decreto Supremo que reglamente la Ley Nº 369, con la finalidad de establecer mecanismos y procedimientos para su implementación, en favor de las personas adultas mayores.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EN CONSEJO DE MINISTROS,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D E C R E </w:t>
            </w:r>
            <w:r>
              <w:rPr>
                <w:rFonts w:ascii="Arial" w:hAnsi="Arial" w:cs="Arial"/>
                <w:b/>
                <w:bCs/>
              </w:rPr>
              <w:t>T A: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bookmarkStart w:id="0" w:name="idm118640"/>
            <w:bookmarkEnd w:id="0"/>
            <w:r>
              <w:rPr>
                <w:rFonts w:ascii="Arial" w:hAnsi="Arial" w:cs="Arial"/>
                <w:b/>
                <w:bCs/>
              </w:rPr>
              <w:t>CAPÍTULO I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  <w:p w:rsidR="00000000" w:rsidRDefault="00C3421A">
            <w:pPr>
              <w:pStyle w:val="NormalWeb"/>
              <w:spacing w:after="0" w:afterAutospacing="0"/>
              <w:ind w:firstLine="282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1.- (OBJETO).</w:t>
            </w:r>
            <w:r>
              <w:rPr>
                <w:rFonts w:ascii="Arial" w:hAnsi="Arial" w:cs="Arial"/>
              </w:rPr>
              <w:t xml:space="preserve"> El presente Decreto Supremo tiene por objeto reglamentar la Ley Nº </w:t>
            </w:r>
            <w:r>
              <w:rPr>
                <w:rFonts w:ascii="Arial" w:hAnsi="Arial" w:cs="Arial"/>
              </w:rPr>
              <w:t>369, de 1 de mayo de 2013, Ley General de las Personas Adultas Mayores, estableciendo mecanismos y procedimientos para su implementación.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2.- (ÁMBITO DE APLICACIÓN).</w:t>
            </w:r>
            <w:r>
              <w:rPr>
                <w:rFonts w:ascii="Arial" w:hAnsi="Arial" w:cs="Arial"/>
              </w:rPr>
              <w:t xml:space="preserve"> El presente Decreto Supremo tiene como ámbito de aplicación todo el territorio </w:t>
            </w:r>
            <w:r>
              <w:rPr>
                <w:rFonts w:ascii="Arial" w:hAnsi="Arial" w:cs="Arial"/>
              </w:rPr>
              <w:t>nacional y será de cumplimiento obligatorio en todas las instituciones públicas y privadas del Estado Plurinacional de Bolivia.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3.- (DEFINICIONES).</w:t>
            </w:r>
            <w:r>
              <w:rPr>
                <w:rFonts w:ascii="Arial" w:hAnsi="Arial" w:cs="Arial"/>
              </w:rPr>
              <w:t> Para efectos de interpretación y aplicación del presente Decreto Supremo, se adoptan las siguient</w:t>
            </w:r>
            <w:r>
              <w:rPr>
                <w:rFonts w:ascii="Arial" w:hAnsi="Arial" w:cs="Arial"/>
              </w:rPr>
              <w:t>es definiciones: 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"/>
              </w:numPr>
              <w:divId w:val="1881241443"/>
            </w:pPr>
            <w:r>
              <w:rPr>
                <w:b/>
                <w:bCs/>
              </w:rPr>
              <w:lastRenderedPageBreak/>
              <w:t>Trato Preferente.</w:t>
            </w:r>
            <w:r>
              <w:t xml:space="preserve"> Es el conjunto de caracteres que buscan un trato prioritario, digno en la atención prestada a las personas adultas mayores en las instituciones públicas o privadas;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2"/>
              </w:numPr>
              <w:divId w:val="1881241443"/>
            </w:pPr>
            <w:r>
              <w:rPr>
                <w:b/>
                <w:bCs/>
              </w:rPr>
              <w:t>Centros de Acogida.</w:t>
            </w:r>
            <w:r>
              <w:t xml:space="preserve"> Son instituciones públicas o pr</w:t>
            </w:r>
            <w:r>
              <w:t xml:space="preserve">ivadas que brindan servicios integrales </w:t>
            </w:r>
            <w:proofErr w:type="spellStart"/>
            <w:r>
              <w:t>Bio</w:t>
            </w:r>
            <w:proofErr w:type="spellEnd"/>
            <w:r>
              <w:t>-</w:t>
            </w:r>
            <w:proofErr w:type="spellStart"/>
            <w:r>
              <w:t>Psico</w:t>
            </w:r>
            <w:proofErr w:type="spellEnd"/>
            <w:r>
              <w:t>-Social a las personas adultas mayores;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3"/>
              </w:numPr>
              <w:divId w:val="1881241443"/>
            </w:pPr>
            <w:r>
              <w:rPr>
                <w:b/>
                <w:bCs/>
              </w:rPr>
              <w:t>Patrocinio Judicial.</w:t>
            </w:r>
            <w:r>
              <w:t xml:space="preserve"> Es el servicio legal que se otorga a las personas adultas mayores, que permite contar con un abogado en procesos judiciales.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hd w:val="clear" w:color="auto" w:fill="00FF00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DERECHOS Y GARANTÍAS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4.- (VEJEZ DIGNA). 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Órgano Ejecutivo a través de sus Ministerios de Estado, gradualmente suprimirán todas las barreras arquitectónicas existentes y aquellas por diseñar o construir de todas las instituciones pública</w:t>
            </w:r>
            <w:r>
              <w:rPr>
                <w:rFonts w:ascii="Arial" w:hAnsi="Arial" w:cs="Arial"/>
              </w:rPr>
              <w:t>s para el acceso a espacios de atención y otros para las personas adultas mayores.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ab/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Ministerio de Economía y Finanzas Públicas, a través de las instancias competentes es responsable de: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4"/>
              </w:numPr>
              <w:divId w:val="1881241443"/>
            </w:pPr>
            <w:r>
              <w:t>Implementar la Renta Universal de Vejez en el marco del Ré</w:t>
            </w:r>
            <w:r>
              <w:t>gimen No Contributivo, como parte del Sistema Integral de Pensiones;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5"/>
              </w:numPr>
              <w:divId w:val="1881241443"/>
            </w:pPr>
            <w:r>
              <w:lastRenderedPageBreak/>
              <w:t xml:space="preserve">Elaborar mecanismos de control y fiscalización, para la detección de cobros indebidos con el objetivo de reducir las sanciones interpuestas a las personas adultas mayores. 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M</w:t>
            </w:r>
            <w:r>
              <w:rPr>
                <w:rFonts w:ascii="Arial" w:hAnsi="Arial" w:cs="Arial"/>
              </w:rPr>
              <w:t xml:space="preserve">inisterio de Gobierno a través del Servicio General de Identificación Personal – SEGIP, es responsable de la cedulación en sus oficinas permanentes, semipermanentes y brigadas móviles de acuerdo a programación, a partir de la </w:t>
            </w:r>
            <w:proofErr w:type="spellStart"/>
            <w:r>
              <w:rPr>
                <w:rFonts w:ascii="Arial" w:hAnsi="Arial" w:cs="Arial"/>
              </w:rPr>
              <w:t>contrastación</w:t>
            </w:r>
            <w:proofErr w:type="spellEnd"/>
            <w:r>
              <w:rPr>
                <w:rFonts w:ascii="Arial" w:hAnsi="Arial" w:cs="Arial"/>
              </w:rPr>
              <w:t xml:space="preserve"> de la base de da</w:t>
            </w:r>
            <w:r>
              <w:rPr>
                <w:rFonts w:ascii="Arial" w:hAnsi="Arial" w:cs="Arial"/>
              </w:rPr>
              <w:t>tos del Servicio de Registro Cívico – SERECI y el certificado de nacimiento, otorgando trato preferente.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Ministerio de Obras Públicas, Servicios y Vivienda a través de la Agencia Estatal de Vivienda – AEVIVIENDA, diseñará mecanismos de acceso a v</w:t>
            </w:r>
            <w:r>
              <w:rPr>
                <w:rFonts w:ascii="Arial" w:hAnsi="Arial" w:cs="Arial"/>
              </w:rPr>
              <w:t>ivienda de interés social a personas adultas mayores en condición de vulnerabilidad.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Ministerio de Desarrollo Productivo y Economía Plural, a través de las instancias competentes: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6"/>
              </w:numPr>
              <w:divId w:val="1881241443"/>
            </w:pPr>
            <w:r>
              <w:t>Fomentará emprendimientos productivos compuestos por personas adult</w:t>
            </w:r>
            <w:r>
              <w:t>as mayores de acuerdo a sus posibilidades y capacidades;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7"/>
              </w:numPr>
              <w:divId w:val="1881241443"/>
            </w:pPr>
            <w:r>
              <w:t>Diseñará mecanismos para la implementación de la responsabilidad social empresarial en favor de las personas adultas mayores.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VI.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Ministerio de Comunicación, diseñará e implementará una estra</w:t>
            </w:r>
            <w:r>
              <w:rPr>
                <w:rFonts w:ascii="Arial" w:hAnsi="Arial" w:cs="Arial"/>
              </w:rPr>
              <w:t>tegia comunicacional intercultural e intergeneracional en todo el territorio boliviano, con el fin de informar, sensibilizar y concientizar sobre los derechos de las personas adultas mayores.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VII.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Órgano Electoral a través del SERECI, implementará de</w:t>
            </w:r>
            <w:r>
              <w:rPr>
                <w:rFonts w:ascii="Arial" w:hAnsi="Arial" w:cs="Arial"/>
              </w:rPr>
              <w:t xml:space="preserve"> manera progresiva campañas o brigadas móviles con el fin de expedir certificados de nacimiento, matrimonio, rectificar, cambiar o </w:t>
            </w:r>
            <w:r>
              <w:rPr>
                <w:rFonts w:ascii="Arial" w:hAnsi="Arial" w:cs="Arial"/>
              </w:rPr>
              <w:lastRenderedPageBreak/>
              <w:t>complementar los datos asentados en el Registro Civil, mediante trámite administrativo gratuito, para las personas adultas ma</w:t>
            </w:r>
            <w:r>
              <w:rPr>
                <w:rFonts w:ascii="Arial" w:hAnsi="Arial" w:cs="Arial"/>
              </w:rPr>
              <w:t>yores otorgando trato preferente.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5.- (BENEMÉRITOS DE LA PATRIA).</w:t>
            </w:r>
            <w:r>
              <w:rPr>
                <w:rFonts w:ascii="Arial" w:hAnsi="Arial" w:cs="Arial"/>
              </w:rPr>
              <w:t xml:space="preserve"> El reconocimiento de gratitud y respeto que se otorgue a los beneméritos de la patria se realizará de forma pública en especial el día de conmemoración del cese de hostilidades co</w:t>
            </w:r>
            <w:r>
              <w:rPr>
                <w:rFonts w:ascii="Arial" w:hAnsi="Arial" w:cs="Arial"/>
              </w:rPr>
              <w:t xml:space="preserve">n la República del Paraguay. 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6.- (TRATO PREFERENTE). 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Las Instituciones públicas y privadas deberán aprobar, difundir e implementar sus reglamentos internos específicos sobre trato preferente, que contemplen todos los criterios establecid</w:t>
            </w:r>
            <w:r>
              <w:rPr>
                <w:rFonts w:ascii="Arial" w:hAnsi="Arial" w:cs="Arial"/>
              </w:rPr>
              <w:t>os en el Artículo 7 de la Ley Nº 369.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Ministerio de Justicia a través del Viceministerio de Igualdad de Oportunidades diseñará e implementará un sistema de registro y seguimiento de las instituciones pú</w:t>
            </w:r>
            <w:r>
              <w:rPr>
                <w:rFonts w:ascii="Arial" w:hAnsi="Arial" w:cs="Arial"/>
              </w:rPr>
              <w:t>blicas y privadas que brinden trato preferente a las personas adultas mayores de acuerdo a los criterios establecidos en el Artículo 7 de la Ley Nº 369, con la finalidad de velar su cumplimiento.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Se constituirán como parte del trato preferente, la </w:t>
            </w:r>
            <w:r>
              <w:rPr>
                <w:rFonts w:ascii="Arial" w:hAnsi="Arial" w:cs="Arial"/>
              </w:rPr>
              <w:t xml:space="preserve">habilitación de ventanillas especiales y prioridad en las filas, para la atención de las personas adultas mayores. 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7.- (SALUD).</w:t>
            </w:r>
            <w:r>
              <w:rPr>
                <w:rFonts w:ascii="Arial" w:hAnsi="Arial" w:cs="Arial"/>
              </w:rPr>
              <w:t xml:space="preserve"> El Ministerio de Salud y Deportes establecerá los lineamientos relacionados a la promoción de la salud y prevenció</w:t>
            </w:r>
            <w:r>
              <w:rPr>
                <w:rFonts w:ascii="Arial" w:hAnsi="Arial" w:cs="Arial"/>
              </w:rPr>
              <w:t>n de las enfermedades, para garantizar el ejercicio del derecho a la salud de las personas adultas mayores en todo el territorio del Estado Plurinacional de Bolivia.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ARTÍCULO 8.- (EDUCACIÓN).</w:t>
            </w:r>
            <w:r>
              <w:rPr>
                <w:rFonts w:ascii="Arial" w:hAnsi="Arial" w:cs="Arial"/>
              </w:rPr>
              <w:t xml:space="preserve"> El Ministerio de Educación deberá: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8"/>
              </w:numPr>
              <w:divId w:val="1881241443"/>
            </w:pPr>
            <w:r>
              <w:t>Incorporar los derechos d</w:t>
            </w:r>
            <w:r>
              <w:t>e las personas adultas mayores en el Diseño Curricular Base del Sistema de Educación Plurinacional;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9"/>
              </w:numPr>
              <w:divId w:val="1881241443"/>
            </w:pPr>
            <w:r>
              <w:t>Diseñar y supervisar la implementación de contenidos temáticos de respeto, prevención de maltrato, violencia contra las personas adultas mayores en los Su</w:t>
            </w:r>
            <w:r>
              <w:t>bsistemas de Educación Regular, Educación Alternativa y Especial, y Educación Superior de Formación Profesional;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0"/>
              </w:numPr>
              <w:divId w:val="1881241443"/>
            </w:pPr>
            <w:r>
              <w:t>Fortalecer en los procesos de formación inicial, continua y de posgrado de maestras y maestros, contenidos y acciones que fomenten la valorac</w:t>
            </w:r>
            <w:r>
              <w:t>ión de las personas adultas mayores y el respeto de sus derechos;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hd w:val="clear" w:color="auto" w:fill="FFFF00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1"/>
              </w:numPr>
              <w:divId w:val="1881241443"/>
            </w:pPr>
            <w:r>
              <w:t>Consolidar espacios de formación profesional especializada, a nivel Técnico Medio, Técnico Superior, Licenciatura y/o Posgrados, para la atención de las personas adultas mayores;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2"/>
              </w:numPr>
              <w:divId w:val="1881241443"/>
            </w:pPr>
            <w:r>
              <w:t>Impleme</w:t>
            </w:r>
            <w:r>
              <w:t>ntar programas para personas adultas mayores en universidades privadas, con el objeto de revalorizar y rescatar su conocimiento, saberes, cultura y respeto de su experticia;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hd w:val="clear" w:color="auto" w:fill="FFFF00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3"/>
              </w:numPr>
              <w:divId w:val="1881241443"/>
            </w:pPr>
            <w:r>
              <w:t xml:space="preserve">Promover la formación, capacitación e inclusión de las personas adultas mayores </w:t>
            </w:r>
            <w:r>
              <w:t>mediante programas y proyectos enmarcados en el Modelo Educativo Socioeconómico Productivo orientados al auto-empleo, a la ocupación social y al desarrollo económico productivo, de acuerdo a sus capacidades y posibilidades;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hd w:val="clear" w:color="auto" w:fill="FFFF00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4"/>
              </w:numPr>
              <w:divId w:val="1881241443"/>
            </w:pPr>
            <w:r>
              <w:t>Desarrollar acciones educativas para las personas adultas mayores, que promuevan la eliminación del analfabetismo residual y funcional.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9.- (SERVICIOS INTEGRADOS DE JUSTICIA PLURINACIONAL).</w:t>
            </w:r>
            <w:r>
              <w:rPr>
                <w:rFonts w:ascii="Arial" w:hAnsi="Arial" w:cs="Arial"/>
              </w:rPr>
              <w:t xml:space="preserve"> El Ministerio de Justicia, implementará progresivamente</w:t>
            </w:r>
            <w:r>
              <w:rPr>
                <w:rFonts w:ascii="Arial" w:hAnsi="Arial" w:cs="Arial"/>
              </w:rPr>
              <w:t xml:space="preserve"> los Servicios Integrados de Justicia Plurinacionales en todo el país a fin de brindar asistencia jurídica preferencial y gratuita, en su idioma materno a las personas adultas mayores.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10.- (ASISTENCIA JURÍDICA). I.</w:t>
            </w:r>
            <w:r>
              <w:rPr>
                <w:rFonts w:ascii="Arial" w:hAnsi="Arial" w:cs="Arial"/>
              </w:rPr>
              <w:t xml:space="preserve"> Los Servicios Integrados de J</w:t>
            </w:r>
            <w:r>
              <w:rPr>
                <w:rFonts w:ascii="Arial" w:hAnsi="Arial" w:cs="Arial"/>
              </w:rPr>
              <w:t>usticia Plurinacional otorgarán representación y patrocinio legal: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5"/>
              </w:numPr>
              <w:divId w:val="1881241443"/>
            </w:pPr>
            <w:r>
              <w:t>En materias Civil, Familiar, Laboral y Agraria, conforme a Resolución expresa emitida por el Ministerio de Justicia;</w:t>
            </w:r>
          </w:p>
          <w:p w:rsidR="00000000" w:rsidRDefault="00C3421A">
            <w:pPr>
              <w:pStyle w:val="NormalWeb"/>
              <w:spacing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6"/>
              </w:numPr>
              <w:divId w:val="1881241443"/>
            </w:pPr>
            <w:r>
              <w:t>En materia Penal, en los delitos contra la vida y la integridad corp</w:t>
            </w:r>
            <w:r>
              <w:t xml:space="preserve">oral, contra el honor, contra la libertad, contra la libertad sexual y contra la propiedad. 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Los Servicios Integrados de Justicia Plurinacional brindarán orientación jurídica necesaria a las personas adultas mayores sobre trámites administrativos y </w:t>
            </w:r>
            <w:r>
              <w:rPr>
                <w:rFonts w:ascii="Arial" w:hAnsi="Arial" w:cs="Arial"/>
              </w:rPr>
              <w:t>procesos judiciales.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left="840" w:hanging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resolución de conflictos se realizará a través de la conciliación, entendida como un medio alternativo de resolver conflictos sin necesidad de instaurar un proceso judicial.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11.- (PROMOCIÓN DE DERECHOS Y GARANTÍAS</w:t>
            </w:r>
            <w:r>
              <w:rPr>
                <w:rFonts w:ascii="Arial" w:hAnsi="Arial" w:cs="Arial"/>
                <w:b/>
                <w:bCs/>
              </w:rPr>
              <w:t>).</w:t>
            </w:r>
            <w:r>
              <w:rPr>
                <w:rFonts w:ascii="Arial" w:hAnsi="Arial" w:cs="Arial"/>
              </w:rPr>
              <w:t xml:space="preserve"> El Ministerio de Justicia a través del Viceministerio de Igualdad de Oportunidades, promocionará los derechos y garantías constitucionales establecidas a favor de las personas adultas mayores. 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III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COORDINACIÓN SECTORIAL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12.- (CONS</w:t>
            </w:r>
            <w:r>
              <w:rPr>
                <w:rFonts w:ascii="Arial" w:hAnsi="Arial" w:cs="Arial"/>
                <w:b/>
                <w:bCs/>
              </w:rPr>
              <w:t>EJO DE COORDINACIÓN SECTORIAL POR UNA VEJEZ DIGNA).</w:t>
            </w:r>
            <w:r>
              <w:rPr>
                <w:rFonts w:ascii="Arial" w:hAnsi="Arial" w:cs="Arial"/>
              </w:rPr>
              <w:t xml:space="preserve"> El Consejo de Coordinación Sectorial por una Vejez Digna, es la instancia consultiva de coordinación, concertación, proposición, cooperación, comunicación e información, constituido por el nivel central d</w:t>
            </w:r>
            <w:r>
              <w:rPr>
                <w:rFonts w:ascii="Arial" w:hAnsi="Arial" w:cs="Arial"/>
              </w:rPr>
              <w:t xml:space="preserve">el Estado y las entidades territoriales autónomas, presidido por la Ministra o el Ministro de Justicia quien es responsable de su convocatoria. 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13.- (CONFORMACIÓN DEL CONSEJO DE COORDINACIÓN SECTORIAL POR UNA VEJEZ DIGNA).</w:t>
            </w:r>
            <w:r>
              <w:rPr>
                <w:rFonts w:ascii="Arial" w:hAnsi="Arial" w:cs="Arial"/>
              </w:rPr>
              <w:t xml:space="preserve"> El Consejo de Coordin</w:t>
            </w:r>
            <w:r>
              <w:rPr>
                <w:rFonts w:ascii="Arial" w:hAnsi="Arial" w:cs="Arial"/>
              </w:rPr>
              <w:t>ación Sectorial por una Vejez Digna, estará conformado por la Ministra o Ministro de Justicia y la autoridad competente del sector de los gobiernos autónomos.  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14.- (SESIONES ORDINARIAS).</w:t>
            </w:r>
            <w:r>
              <w:rPr>
                <w:rFonts w:ascii="Arial" w:hAnsi="Arial" w:cs="Arial"/>
              </w:rPr>
              <w:t xml:space="preserve"> El Consejo de Coordinació</w:t>
            </w:r>
            <w:r>
              <w:rPr>
                <w:rFonts w:ascii="Arial" w:hAnsi="Arial" w:cs="Arial"/>
              </w:rPr>
              <w:t>n Sectorial por una Vejez Digna, se reunirá de manera obligatoria, mínimamente dos (2) veces al año en sesión ordinaria.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15.- (REGLAMENTO).</w:t>
            </w:r>
            <w:r>
              <w:rPr>
                <w:rFonts w:ascii="Arial" w:hAnsi="Arial" w:cs="Arial"/>
              </w:rPr>
              <w:t xml:space="preserve"> El Consejo de Coordinación Sectorial por una Vejez Digna, en su primera sesión elaborará </w:t>
            </w:r>
            <w:r>
              <w:rPr>
                <w:rFonts w:ascii="Arial" w:hAnsi="Arial" w:cs="Arial"/>
              </w:rPr>
              <w:t xml:space="preserve">su Reglamento Interno que norme su funcionamiento y establecerá mecanismos para su aprobación. 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hd w:val="clear" w:color="auto" w:fill="FFFF00"/>
              </w:rPr>
              <w:t> 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16.- (SECRETARÍA TÉCNICA).</w:t>
            </w:r>
            <w:r>
              <w:rPr>
                <w:rFonts w:ascii="Arial" w:hAnsi="Arial" w:cs="Arial"/>
              </w:rPr>
              <w:t xml:space="preserve"> El Ministerio de Justicia a través del Viceministerio de Igualdad de Oportunidades, ejercerá la Secretaría Técnica del Con</w:t>
            </w:r>
            <w:r>
              <w:rPr>
                <w:rFonts w:ascii="Arial" w:hAnsi="Arial" w:cs="Arial"/>
              </w:rPr>
              <w:t>sejo de Coordinación Sectorial por una Vejez Digna, que cumplirá las siguientes funciones: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7"/>
              </w:numPr>
              <w:spacing w:before="40" w:beforeAutospacing="0"/>
              <w:divId w:val="1881241443"/>
            </w:pPr>
            <w:r>
              <w:t>Prestar asesoramiento técnico operativo, administrativo y logístico necesario al Consejo;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8"/>
              </w:numPr>
              <w:spacing w:before="40" w:beforeAutospacing="0"/>
              <w:divId w:val="1881241443"/>
            </w:pPr>
            <w:r>
              <w:t>Coordinar e Implementar los acuerdos consensuados entre el nivel centra</w:t>
            </w:r>
            <w:r>
              <w:t>l del Estado y las entidades territoriales autónomas al interior del Consejo;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19"/>
              </w:numPr>
              <w:spacing w:before="40" w:beforeAutospacing="0"/>
              <w:divId w:val="1881241443"/>
            </w:pPr>
            <w:r>
              <w:t>Coordinar con los Órganos del Estado Plurinacional de Bolivia, Policía Boliviana, Fuerzas Armadas, Ministerio Público, Defensor del Pueblo y otras instituciones públicas y priv</w:t>
            </w:r>
            <w:r>
              <w:t>adas;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20"/>
              </w:numPr>
              <w:spacing w:before="40" w:beforeAutospacing="0"/>
              <w:divId w:val="1881241443"/>
            </w:pPr>
            <w:r>
              <w:lastRenderedPageBreak/>
              <w:t>Elaborar la memoria anual del Consejo;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left="1980" w:hanging="56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numPr>
                <w:ilvl w:val="0"/>
                <w:numId w:val="21"/>
              </w:numPr>
              <w:spacing w:before="40" w:beforeAutospacing="0"/>
              <w:divId w:val="1881241443"/>
            </w:pPr>
            <w:r>
              <w:t>Otras establecidas de acuerdo al reglamento aprobado por el Consejo.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TRANSITORIAS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before="40" w:beforeAutospacing="0"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DISPOSICIÓN TRANSITORIA ÚNICA.-</w:t>
            </w:r>
            <w:r>
              <w:rPr>
                <w:rFonts w:ascii="Arial" w:hAnsi="Arial" w:cs="Arial"/>
              </w:rPr>
              <w:t xml:space="preserve"> Para el cumplimiento del Parágrafo I del Artí</w:t>
            </w:r>
            <w:r>
              <w:rPr>
                <w:rFonts w:ascii="Arial" w:hAnsi="Arial" w:cs="Arial"/>
              </w:rPr>
              <w:t>culo 6 del presente Decreto Supremo, las entidades públicas y privadas contarán con un plazo de noventa (90) días calendario, computable a partir de su publicación.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ABROGATORIAS Y DEROGATORIAS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Se abrogan y derogan todas las disposiciones </w:t>
            </w:r>
            <w:r>
              <w:rPr>
                <w:rFonts w:ascii="Arial" w:hAnsi="Arial" w:cs="Arial"/>
              </w:rPr>
              <w:t>contrarias al presente Decreto Supremo.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jc w:val="center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FINALES</w:t>
            </w:r>
          </w:p>
          <w:p w:rsidR="00000000" w:rsidRDefault="00C3421A">
            <w:pPr>
              <w:pStyle w:val="NormalWeb"/>
              <w:spacing w:after="0" w:afterAutospacing="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DISPOSICIÓN FINAL ÚNICA.-</w:t>
            </w:r>
            <w:r>
              <w:rPr>
                <w:rFonts w:ascii="Arial" w:hAnsi="Arial" w:cs="Arial"/>
              </w:rPr>
              <w:t xml:space="preserve"> Cada 26 de agosto, las instituciones públicas y privadas que trabajen con la población adulta mayor, realizarán actividades de reconocimiento, sensibilización y pro</w:t>
            </w:r>
            <w:r>
              <w:rPr>
                <w:rFonts w:ascii="Arial" w:hAnsi="Arial" w:cs="Arial"/>
              </w:rPr>
              <w:t>moción de sus derechos.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Los señores Ministros de Estado en sus respectivos Despachos, quedan encargados de la ejecución y cumplimiento del presente Decreto Supremo. 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Es dado en la ciudad de El Alto, a los veintisiete días del mes de noviembre del año d</w:t>
            </w:r>
            <w:r>
              <w:rPr>
                <w:rFonts w:ascii="Arial" w:hAnsi="Arial" w:cs="Arial"/>
              </w:rPr>
              <w:t>os mil trece.</w:t>
            </w:r>
          </w:p>
          <w:p w:rsidR="00000000" w:rsidRDefault="00C3421A">
            <w:pPr>
              <w:pStyle w:val="NormalWeb"/>
              <w:spacing w:after="0" w:afterAutospacing="0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C3421A">
            <w:pPr>
              <w:pStyle w:val="NormalWeb"/>
              <w:ind w:firstLine="840"/>
              <w:divId w:val="18812414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FDO. EVO MORALES AYMA, </w:t>
            </w: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Choquehuanca</w:t>
            </w:r>
            <w:proofErr w:type="spellEnd"/>
            <w:r>
              <w:rPr>
                <w:rFonts w:ascii="Arial" w:hAnsi="Arial" w:cs="Arial"/>
              </w:rPr>
              <w:t xml:space="preserve"> Céspedes, Juan Ramón Quintana Taborga, Carlos Gustavo Romero </w:t>
            </w:r>
            <w:proofErr w:type="spellStart"/>
            <w:r>
              <w:rPr>
                <w:rFonts w:ascii="Arial" w:hAnsi="Arial" w:cs="Arial"/>
              </w:rPr>
              <w:t>Bonifaz</w:t>
            </w:r>
            <w:proofErr w:type="spellEnd"/>
            <w:r>
              <w:rPr>
                <w:rFonts w:ascii="Arial" w:hAnsi="Arial" w:cs="Arial"/>
              </w:rPr>
              <w:t xml:space="preserve">, Rubén Aldo Saavedra Soto, Elba Viviana Caro Hinojosa, Luis Alberto Arce </w:t>
            </w:r>
            <w:proofErr w:type="spellStart"/>
            <w:r>
              <w:rPr>
                <w:rFonts w:ascii="Arial" w:hAnsi="Arial" w:cs="Arial"/>
              </w:rPr>
              <w:t>Catacora</w:t>
            </w:r>
            <w:proofErr w:type="spellEnd"/>
            <w:r>
              <w:rPr>
                <w:rFonts w:ascii="Arial" w:hAnsi="Arial" w:cs="Arial"/>
              </w:rPr>
              <w:t>, Ana Teresa Morales Olivera, Arturo Vladimir Sá</w:t>
            </w:r>
            <w:r>
              <w:rPr>
                <w:rFonts w:ascii="Arial" w:hAnsi="Arial" w:cs="Arial"/>
              </w:rPr>
              <w:t xml:space="preserve">nchez Escobar, Mario </w:t>
            </w:r>
            <w:proofErr w:type="spellStart"/>
            <w:r>
              <w:rPr>
                <w:rFonts w:ascii="Arial" w:hAnsi="Arial" w:cs="Arial"/>
              </w:rPr>
              <w:t>Virreira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Iporre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MINISTRO DE MINERÍA Y METALURGIA E INTERINO DE HIDROCARBUROS Y ENERGÍA, </w:t>
            </w:r>
            <w:r>
              <w:rPr>
                <w:rFonts w:ascii="Arial" w:hAnsi="Arial" w:cs="Arial"/>
              </w:rPr>
              <w:t xml:space="preserve">Cecilia Luisa </w:t>
            </w:r>
            <w:proofErr w:type="spellStart"/>
            <w:r>
              <w:rPr>
                <w:rFonts w:ascii="Arial" w:hAnsi="Arial" w:cs="Arial"/>
              </w:rPr>
              <w:t>Ayllon</w:t>
            </w:r>
            <w:proofErr w:type="spellEnd"/>
            <w:r>
              <w:rPr>
                <w:rFonts w:ascii="Arial" w:hAnsi="Arial" w:cs="Arial"/>
              </w:rPr>
              <w:t xml:space="preserve"> Quinteros, Daniel </w:t>
            </w:r>
            <w:proofErr w:type="spellStart"/>
            <w:r>
              <w:rPr>
                <w:rFonts w:ascii="Arial" w:hAnsi="Arial" w:cs="Arial"/>
              </w:rPr>
              <w:t>Santalla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Torrez</w:t>
            </w:r>
            <w:proofErr w:type="spellEnd"/>
            <w:r>
              <w:rPr>
                <w:rFonts w:ascii="Arial" w:hAnsi="Arial" w:cs="Arial"/>
              </w:rPr>
              <w:t xml:space="preserve">, Juan Carlos </w:t>
            </w:r>
            <w:proofErr w:type="spellStart"/>
            <w:r>
              <w:rPr>
                <w:rFonts w:ascii="Arial" w:hAnsi="Arial" w:cs="Arial"/>
              </w:rPr>
              <w:t>Calvimontes</w:t>
            </w:r>
            <w:proofErr w:type="spellEnd"/>
            <w:r>
              <w:rPr>
                <w:rFonts w:ascii="Arial" w:hAnsi="Arial" w:cs="Arial"/>
              </w:rPr>
              <w:t xml:space="preserve"> Camargo, José Antonio Zamora Gutiérrez, Roberto Iván Aguilar Gómez,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Nemesia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Achacollo</w:t>
            </w:r>
            <w:proofErr w:type="spellEnd"/>
            <w:r>
              <w:rPr>
                <w:rFonts w:ascii="Arial" w:hAnsi="Arial" w:cs="Arial"/>
              </w:rPr>
              <w:t xml:space="preserve"> Tola, Claudia </w:t>
            </w:r>
            <w:proofErr w:type="spellStart"/>
            <w:r>
              <w:rPr>
                <w:rFonts w:ascii="Arial" w:hAnsi="Arial" w:cs="Arial"/>
              </w:rPr>
              <w:t>Stacy</w:t>
            </w:r>
            <w:proofErr w:type="spellEnd"/>
            <w:r>
              <w:rPr>
                <w:rFonts w:ascii="Arial" w:hAnsi="Arial" w:cs="Arial"/>
              </w:rPr>
              <w:t xml:space="preserve"> Peña Claros, </w:t>
            </w:r>
            <w:proofErr w:type="spellStart"/>
            <w:r>
              <w:rPr>
                <w:rFonts w:ascii="Arial" w:hAnsi="Arial" w:cs="Arial"/>
              </w:rPr>
              <w:t>Nardy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Suxo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Iturry</w:t>
            </w:r>
            <w:proofErr w:type="spellEnd"/>
            <w:r>
              <w:rPr>
                <w:rFonts w:ascii="Arial" w:hAnsi="Arial" w:cs="Arial"/>
              </w:rPr>
              <w:t xml:space="preserve">, Pablo Cesar </w:t>
            </w:r>
            <w:proofErr w:type="spellStart"/>
            <w:r>
              <w:rPr>
                <w:rFonts w:ascii="Arial" w:hAnsi="Arial" w:cs="Arial"/>
              </w:rPr>
              <w:t>Groux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Canedo</w:t>
            </w:r>
            <w:proofErr w:type="spellEnd"/>
            <w:r>
              <w:rPr>
                <w:rFonts w:ascii="Arial" w:hAnsi="Arial" w:cs="Arial"/>
              </w:rPr>
              <w:t xml:space="preserve">, Amanda Dávila Torres. </w:t>
            </w:r>
          </w:p>
          <w:p w:rsidR="00000000" w:rsidRDefault="00C3421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000000" w:rsidTr="00F47CE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C3421A">
            <w:pPr>
              <w:jc w:val="right"/>
              <w:rPr>
                <w:rFonts w:eastAsia="Times New Roman"/>
                <w:color w:val="auto"/>
              </w:rPr>
            </w:pPr>
            <w:bookmarkStart w:id="1" w:name="_GoBack"/>
            <w:bookmarkEnd w:id="1"/>
          </w:p>
        </w:tc>
      </w:tr>
    </w:tbl>
    <w:p w:rsidR="00C3421A" w:rsidRDefault="00C3421A">
      <w:pPr>
        <w:rPr>
          <w:rFonts w:eastAsia="Times New Roman"/>
          <w:color w:val="auto"/>
        </w:rPr>
      </w:pPr>
    </w:p>
    <w:sectPr w:rsidR="00C34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B3B"/>
    <w:multiLevelType w:val="multilevel"/>
    <w:tmpl w:val="85941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1057"/>
    <w:multiLevelType w:val="multilevel"/>
    <w:tmpl w:val="1B7A9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B0DC0"/>
    <w:multiLevelType w:val="multilevel"/>
    <w:tmpl w:val="58CE43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C0878"/>
    <w:multiLevelType w:val="multilevel"/>
    <w:tmpl w:val="3C40F3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B0AE6"/>
    <w:multiLevelType w:val="multilevel"/>
    <w:tmpl w:val="78D29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75E26"/>
    <w:multiLevelType w:val="multilevel"/>
    <w:tmpl w:val="27DEF2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7403B"/>
    <w:multiLevelType w:val="multilevel"/>
    <w:tmpl w:val="D374BBC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1762A"/>
    <w:multiLevelType w:val="multilevel"/>
    <w:tmpl w:val="D286F5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546F2"/>
    <w:multiLevelType w:val="multilevel"/>
    <w:tmpl w:val="D9B22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34CED"/>
    <w:multiLevelType w:val="multilevel"/>
    <w:tmpl w:val="B6740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470AB"/>
    <w:multiLevelType w:val="multilevel"/>
    <w:tmpl w:val="257689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B01AC"/>
    <w:multiLevelType w:val="multilevel"/>
    <w:tmpl w:val="8C30AF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53A01"/>
    <w:multiLevelType w:val="multilevel"/>
    <w:tmpl w:val="FE6C138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6147B"/>
    <w:multiLevelType w:val="multilevel"/>
    <w:tmpl w:val="D62CD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73F0"/>
    <w:multiLevelType w:val="multilevel"/>
    <w:tmpl w:val="3B2EAC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F5608"/>
    <w:multiLevelType w:val="multilevel"/>
    <w:tmpl w:val="5B02D3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F02E8"/>
    <w:multiLevelType w:val="multilevel"/>
    <w:tmpl w:val="52B447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F2548"/>
    <w:multiLevelType w:val="multilevel"/>
    <w:tmpl w:val="C896ADC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B1CEC"/>
    <w:multiLevelType w:val="multilevel"/>
    <w:tmpl w:val="96DE30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B1917"/>
    <w:multiLevelType w:val="multilevel"/>
    <w:tmpl w:val="61AA0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75DC6"/>
    <w:multiLevelType w:val="multilevel"/>
    <w:tmpl w:val="5D3413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7"/>
  </w:num>
  <w:num w:numId="14">
    <w:abstractNumId w:val="12"/>
  </w:num>
  <w:num w:numId="15">
    <w:abstractNumId w:val="9"/>
  </w:num>
  <w:num w:numId="16">
    <w:abstractNumId w:val="20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7CE6"/>
    <w:rsid w:val="00C3421A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DEC54A-ADC7-4072-B5CC-184B03A3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12807</CharactersWithSpaces>
  <SharedDoc>false</SharedDoc>
  <HyperlinkBase>E:\GACETA\gacetas a subir\588NEC\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subject/>
  <dc:creator>pc</dc:creator>
  <cp:keywords/>
  <dc:description/>
  <cp:lastModifiedBy>pc</cp:lastModifiedBy>
  <cp:revision>2</cp:revision>
  <dcterms:created xsi:type="dcterms:W3CDTF">2014-06-17T16:14:00Z</dcterms:created>
  <dcterms:modified xsi:type="dcterms:W3CDTF">2014-06-17T16:14:00Z</dcterms:modified>
</cp:coreProperties>
</file>