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B3" w:rsidRPr="00DD29B3" w:rsidRDefault="00DD29B3" w:rsidP="00DD29B3">
      <w:pPr>
        <w:jc w:val="both"/>
        <w:rPr>
          <w:rFonts w:ascii="Times New Roman" w:hAnsi="Times New Roman" w:cs="Times New Roman"/>
          <w:sz w:val="24"/>
          <w:szCs w:val="24"/>
        </w:rPr>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1BAB37E5" wp14:editId="128C1F71">
            <wp:simplePos x="0" y="0"/>
            <wp:positionH relativeFrom="column">
              <wp:posOffset>-2447</wp:posOffset>
            </wp:positionH>
            <wp:positionV relativeFrom="paragraph">
              <wp:posOffset>-56298</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B3" w:rsidRPr="00DD29B3" w:rsidRDefault="00DD29B3" w:rsidP="00DD29B3">
      <w:pPr>
        <w:jc w:val="both"/>
        <w:rPr>
          <w:rFonts w:ascii="Times New Roman" w:hAnsi="Times New Roman" w:cs="Times New Roman"/>
          <w:sz w:val="24"/>
          <w:szCs w:val="24"/>
        </w:rPr>
      </w:pPr>
    </w:p>
    <w:p w:rsidR="00DD29B3" w:rsidRPr="00DD29B3" w:rsidRDefault="00DD29B3" w:rsidP="00DD29B3">
      <w:pPr>
        <w:jc w:val="both"/>
        <w:rPr>
          <w:rFonts w:ascii="Times New Roman" w:hAnsi="Times New Roman" w:cs="Times New Roman"/>
          <w:sz w:val="24"/>
          <w:szCs w:val="24"/>
        </w:rPr>
      </w:pPr>
    </w:p>
    <w:p w:rsidR="009F1C4F" w:rsidRDefault="009F1C4F" w:rsidP="00DD29B3">
      <w:pPr>
        <w:jc w:val="center"/>
        <w:rPr>
          <w:rFonts w:ascii="Times New Roman" w:hAnsi="Times New Roman" w:cs="Times New Roman"/>
          <w:b/>
          <w:sz w:val="28"/>
          <w:szCs w:val="24"/>
        </w:rPr>
      </w:pPr>
      <w:r w:rsidRPr="00DD29B3">
        <w:rPr>
          <w:rFonts w:ascii="Times New Roman" w:hAnsi="Times New Roman" w:cs="Times New Roman"/>
          <w:b/>
          <w:sz w:val="28"/>
          <w:szCs w:val="24"/>
        </w:rPr>
        <w:t>Convención sobre la eliminación de todas las formas de discriminación contra la mujer</w:t>
      </w:r>
    </w:p>
    <w:p w:rsidR="00DD29B3" w:rsidRPr="00DD29B3" w:rsidRDefault="00DD29B3" w:rsidP="00DD29B3">
      <w:pPr>
        <w:jc w:val="center"/>
        <w:rPr>
          <w:rFonts w:ascii="Times New Roman" w:hAnsi="Times New Roman" w:cs="Times New Roman"/>
          <w:b/>
          <w:sz w:val="28"/>
          <w:szCs w:val="24"/>
        </w:rPr>
      </w:pP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Adoptada y abierta a la firma y ratificación, o adhesión, por la Asamblea General en su resolución 34/180, de 18 de diciembre de 1979</w:t>
      </w:r>
      <w:r w:rsidR="00DD29B3">
        <w:rPr>
          <w:rFonts w:ascii="Times New Roman" w:hAnsi="Times New Roman" w:cs="Times New Roman"/>
          <w:sz w:val="24"/>
          <w:szCs w:val="24"/>
        </w:rPr>
        <w:t>.</w:t>
      </w:r>
    </w:p>
    <w:p w:rsidR="009F1C4F"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Entrada en vigor: 3 de septiembre de 1981, de conformidad con el artículo 27</w:t>
      </w:r>
      <w:r w:rsidR="00DD29B3">
        <w:rPr>
          <w:rFonts w:ascii="Times New Roman" w:hAnsi="Times New Roman" w:cs="Times New Roman"/>
          <w:sz w:val="24"/>
          <w:szCs w:val="24"/>
        </w:rPr>
        <w:t>.</w:t>
      </w:r>
    </w:p>
    <w:p w:rsidR="00DD29B3" w:rsidRDefault="00DD29B3" w:rsidP="00DD29B3">
      <w:pPr>
        <w:jc w:val="both"/>
        <w:rPr>
          <w:rFonts w:ascii="Times New Roman" w:hAnsi="Times New Roman" w:cs="Times New Roman"/>
          <w:sz w:val="24"/>
          <w:szCs w:val="24"/>
        </w:rPr>
      </w:pPr>
    </w:p>
    <w:p w:rsidR="00DD29B3" w:rsidRPr="00DD29B3" w:rsidRDefault="00DD29B3" w:rsidP="00DD29B3">
      <w:pPr>
        <w:jc w:val="both"/>
        <w:rPr>
          <w:rFonts w:ascii="Times New Roman" w:hAnsi="Times New Roman" w:cs="Times New Roman"/>
          <w:b/>
          <w:sz w:val="24"/>
          <w:szCs w:val="24"/>
        </w:rPr>
      </w:pPr>
      <w:r w:rsidRPr="00DD29B3">
        <w:rPr>
          <w:rFonts w:ascii="Times New Roman" w:hAnsi="Times New Roman" w:cs="Times New Roman"/>
          <w:b/>
          <w:sz w:val="24"/>
          <w:szCs w:val="24"/>
        </w:rPr>
        <w:t>Preámbulo</w:t>
      </w:r>
    </w:p>
    <w:p w:rsid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en la presente Convención, </w:t>
      </w:r>
      <w:r w:rsidR="00DD29B3">
        <w:rPr>
          <w:rFonts w:ascii="Times New Roman" w:hAnsi="Times New Roman" w:cs="Times New Roman"/>
          <w:sz w:val="24"/>
          <w:szCs w:val="24"/>
        </w:rPr>
        <w:t>c</w:t>
      </w:r>
      <w:r w:rsidRPr="00DD29B3">
        <w:rPr>
          <w:rFonts w:ascii="Times New Roman" w:hAnsi="Times New Roman" w:cs="Times New Roman"/>
          <w:sz w:val="24"/>
          <w:szCs w:val="24"/>
        </w:rPr>
        <w:t>onsiderando que la Carta de las Naciones Unidas reafirma la fe en los derechos humanos fundamentales, en la dignidad y el valor de la persona humana y en la igualdad de derechos de hombres y mujeres</w:t>
      </w:r>
      <w:r w:rsidR="00DD29B3">
        <w:rPr>
          <w:rFonts w:ascii="Times New Roman" w:hAnsi="Times New Roman" w:cs="Times New Roman"/>
          <w:sz w:val="24"/>
          <w:szCs w:val="24"/>
        </w:rPr>
        <w:t>.</w:t>
      </w:r>
    </w:p>
    <w:p w:rsid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Considerando 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r w:rsidR="00DD29B3">
        <w:rPr>
          <w:rFonts w:ascii="Times New Roman" w:hAnsi="Times New Roman" w:cs="Times New Roman"/>
          <w:sz w:val="24"/>
          <w:szCs w:val="24"/>
        </w:rPr>
        <w:t>.</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Considerando que los Estados Partes en los Pactos Internacionales de Derechos Humanos tienen la obligación de garantizar a hombres y mujeres la igualdad en el goce de todos los derechos económicos, sociales, culturales, civiles y políticos</w:t>
      </w:r>
      <w:r w:rsidR="00DD29B3">
        <w:rPr>
          <w:rFonts w:ascii="Times New Roman" w:hAnsi="Times New Roman" w:cs="Times New Roman"/>
          <w:sz w:val="24"/>
          <w:szCs w:val="24"/>
        </w:rPr>
        <w:t>.</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Teniendo en cuenta las convenciones internacionales concertadas bajo los auspicios de las Naciones Unidas y de los organismos especializados para favorecer la igualdad de derechos entre el hombre y la muje</w:t>
      </w:r>
      <w:r w:rsidR="00DD29B3">
        <w:rPr>
          <w:rFonts w:ascii="Times New Roman" w:hAnsi="Times New Roman" w:cs="Times New Roman"/>
          <w:sz w:val="24"/>
          <w:szCs w:val="24"/>
        </w:rPr>
        <w:t>r.</w:t>
      </w:r>
      <w:r w:rsidRPr="00DD29B3">
        <w:rPr>
          <w:rFonts w:ascii="Times New Roman" w:hAnsi="Times New Roman" w:cs="Times New Roman"/>
          <w:sz w:val="24"/>
          <w:szCs w:val="24"/>
        </w:rPr>
        <w:t xml:space="preserv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Teniendo en cuenta asimismo las resoluciones, declaraciones y recomendaciones aprobadas por las Naciones Unidas y los organismos especializados para favorecer la igualdad de derechos entre el hombre y la mujer</w:t>
      </w:r>
      <w:r w:rsidR="00DD29B3">
        <w:rPr>
          <w:rFonts w:ascii="Times New Roman" w:hAnsi="Times New Roman" w:cs="Times New Roman"/>
          <w:sz w:val="24"/>
          <w:szCs w:val="24"/>
        </w:rPr>
        <w:t xml:space="preserve">. </w:t>
      </w:r>
      <w:r w:rsidRPr="00DD29B3">
        <w:rPr>
          <w:rFonts w:ascii="Times New Roman" w:hAnsi="Times New Roman" w:cs="Times New Roman"/>
          <w:sz w:val="24"/>
          <w:szCs w:val="24"/>
        </w:rPr>
        <w:t>Preocupados, sin embargo, al comprobar que a pesar de estos diversos instrumentos las mujeres siguen siendo objeto de importantes discriminaciones</w:t>
      </w:r>
      <w:r w:rsidR="00DD29B3">
        <w:rPr>
          <w:rFonts w:ascii="Times New Roman" w:hAnsi="Times New Roman" w:cs="Times New Roman"/>
          <w:sz w:val="24"/>
          <w:szCs w:val="24"/>
        </w:rPr>
        <w:t>.</w:t>
      </w:r>
      <w:r w:rsidRPr="00DD29B3">
        <w:rPr>
          <w:rFonts w:ascii="Times New Roman" w:hAnsi="Times New Roman" w:cs="Times New Roman"/>
          <w:sz w:val="24"/>
          <w:szCs w:val="24"/>
        </w:rPr>
        <w:t xml:space="preserve"> </w:t>
      </w:r>
    </w:p>
    <w:p w:rsidR="009F1C4F" w:rsidRPr="00DD29B3" w:rsidRDefault="009F1C4F" w:rsidP="00DD29B3">
      <w:pPr>
        <w:jc w:val="both"/>
        <w:rPr>
          <w:rFonts w:ascii="Times New Roman" w:hAnsi="Times New Roman" w:cs="Times New Roman"/>
          <w:sz w:val="24"/>
          <w:szCs w:val="24"/>
        </w:rPr>
      </w:pP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 </w:t>
      </w:r>
      <w:r w:rsidR="00DD29B3">
        <w:rPr>
          <w:rFonts w:ascii="Times New Roman" w:hAnsi="Times New Roman" w:cs="Times New Roman"/>
          <w:sz w:val="24"/>
          <w:szCs w:val="24"/>
        </w:rPr>
        <w:t>p</w:t>
      </w:r>
      <w:r w:rsidRPr="00DD29B3">
        <w:rPr>
          <w:rFonts w:ascii="Times New Roman" w:hAnsi="Times New Roman" w:cs="Times New Roman"/>
          <w:sz w:val="24"/>
          <w:szCs w:val="24"/>
        </w:rPr>
        <w:t>reocupados por el hecho de que en situaciones de pobreza la mujer tiene un acceso mínimo a la alimentación, la salud, la enseñanza, la capacitación y las oportunidades de empleo, así como a la satisfacción de otras necesidades</w:t>
      </w:r>
      <w:r w:rsidR="00DD29B3">
        <w:rPr>
          <w:rFonts w:ascii="Times New Roman" w:hAnsi="Times New Roman" w:cs="Times New Roman"/>
          <w:sz w:val="24"/>
          <w:szCs w:val="24"/>
        </w:rPr>
        <w:t>.</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Convencidos de que el establecimiento del nuevo orden económico internacional basado en la equidad y la justicia contribuirá significativamente a la promoción de la igualdad entre el hombre y la mujer</w:t>
      </w:r>
      <w:r w:rsidR="00DD29B3">
        <w:rPr>
          <w:rFonts w:ascii="Times New Roman" w:hAnsi="Times New Roman" w:cs="Times New Roman"/>
          <w:sz w:val="24"/>
          <w:szCs w:val="24"/>
        </w:rPr>
        <w:t>.</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Subrayado que la eliminación del apartheid, de todas las formas de racismo, de discriminación racial, colonialismo, neocolonialismo, agresión, ocupación y dominación </w:t>
      </w:r>
      <w:proofErr w:type="gramStart"/>
      <w:r w:rsidRPr="00DD29B3">
        <w:rPr>
          <w:rFonts w:ascii="Times New Roman" w:hAnsi="Times New Roman" w:cs="Times New Roman"/>
          <w:sz w:val="24"/>
          <w:szCs w:val="24"/>
        </w:rPr>
        <w:t>extranjeras</w:t>
      </w:r>
      <w:proofErr w:type="gramEnd"/>
      <w:r w:rsidRPr="00DD29B3">
        <w:rPr>
          <w:rFonts w:ascii="Times New Roman" w:hAnsi="Times New Roman" w:cs="Times New Roman"/>
          <w:sz w:val="24"/>
          <w:szCs w:val="24"/>
        </w:rPr>
        <w:t xml:space="preserve"> y de la injerencia en los asuntos internos de los Estados es indispensable para el disfrute cabal de los derechos del hombre y de la mujer</w:t>
      </w:r>
      <w:r w:rsidR="00DD29B3">
        <w:rPr>
          <w:rFonts w:ascii="Times New Roman" w:hAnsi="Times New Roman" w:cs="Times New Roman"/>
          <w:sz w:val="24"/>
          <w:szCs w:val="24"/>
        </w:rPr>
        <w:t>.</w:t>
      </w:r>
    </w:p>
    <w:p w:rsid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Afirmando que el fortalecimiento de la paz y la seguridad internacionales, el alivio de la tensión internacional, la cooperación mutua entre todos los Estados con independencia de sus sistemas sociales y económicos, el desarme general y completo,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social y el desarrollo y, en consecuencia, contribuirán al logro de la plena igualdad entre el hombre y la mujer</w:t>
      </w:r>
      <w:r w:rsidR="00DD29B3">
        <w:rPr>
          <w:rFonts w:ascii="Times New Roman" w:hAnsi="Times New Roman" w:cs="Times New Roman"/>
          <w:sz w:val="24"/>
          <w:szCs w:val="24"/>
        </w:rPr>
        <w:t>.</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Convencidos de que la máxima participación de la mujer en todas las esferas, en igualdad de condiciones con el hombre, es indispensable para el desarrollo pleno y completo de un país, el bienestar del mundo y la causa de la paz</w:t>
      </w:r>
      <w:r w:rsidR="00DD29B3">
        <w:rPr>
          <w:rFonts w:ascii="Times New Roman" w:hAnsi="Times New Roman" w:cs="Times New Roman"/>
          <w:sz w:val="24"/>
          <w:szCs w:val="24"/>
        </w:rPr>
        <w:t>.</w:t>
      </w:r>
    </w:p>
    <w:p w:rsid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Teniendo presentes el gran aporte de la mujer al bienestar de la familia y al desarrollo de la sociedad, hasta ahora no plenamente reconocido, la importancia social de la maternidad y la función tanto del padre como de la madre en la familia y en la educación de los hijos, y conscientes de que el papel de la mujer en la procreación no debe ser causa de discriminación, sino que la educación de los niños exige la responsabilidad compartida entre hombres y mujeres y la sociedad en su conjunto</w:t>
      </w:r>
      <w:r w:rsidR="00DD29B3">
        <w:rPr>
          <w:rFonts w:ascii="Times New Roman" w:hAnsi="Times New Roman" w:cs="Times New Roman"/>
          <w:sz w:val="24"/>
          <w:szCs w:val="24"/>
        </w:rPr>
        <w:t>.</w:t>
      </w:r>
    </w:p>
    <w:p w:rsid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Reconociendo que para lograr la plena igualdad entre el hombre y la mujer es </w:t>
      </w:r>
      <w:proofErr w:type="gramStart"/>
      <w:r w:rsidRPr="00DD29B3">
        <w:rPr>
          <w:rFonts w:ascii="Times New Roman" w:hAnsi="Times New Roman" w:cs="Times New Roman"/>
          <w:sz w:val="24"/>
          <w:szCs w:val="24"/>
        </w:rPr>
        <w:t>necesario</w:t>
      </w:r>
      <w:proofErr w:type="gramEnd"/>
      <w:r w:rsidRPr="00DD29B3">
        <w:rPr>
          <w:rFonts w:ascii="Times New Roman" w:hAnsi="Times New Roman" w:cs="Times New Roman"/>
          <w:sz w:val="24"/>
          <w:szCs w:val="24"/>
        </w:rPr>
        <w:t xml:space="preserve"> modificar el papel tradicional tanto del hombre como de la mujer en la sociedad y en la familia</w:t>
      </w:r>
      <w:r w:rsidR="00DD29B3">
        <w:rPr>
          <w:rFonts w:ascii="Times New Roman" w:hAnsi="Times New Roman" w:cs="Times New Roman"/>
          <w:sz w:val="24"/>
          <w:szCs w:val="24"/>
        </w:rPr>
        <w:t>.</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Resueltos a aplicar los principios enunciados en la Declaración sobre la eliminación de la discriminación contra la mujer y, para ello, a adoptar las medidas necesarias a fin de suprimir esta discriminación en todas sus formas y manifestaciones</w:t>
      </w:r>
      <w:r w:rsidR="00DD29B3">
        <w:rPr>
          <w:rFonts w:ascii="Times New Roman" w:hAnsi="Times New Roman" w:cs="Times New Roman"/>
          <w:sz w:val="24"/>
          <w:szCs w:val="24"/>
        </w:rPr>
        <w:t xml:space="preserve">. </w:t>
      </w:r>
      <w:r w:rsidRPr="00DD29B3">
        <w:rPr>
          <w:rFonts w:ascii="Times New Roman" w:hAnsi="Times New Roman" w:cs="Times New Roman"/>
          <w:sz w:val="24"/>
          <w:szCs w:val="24"/>
        </w:rPr>
        <w:t>Han convenido en lo siguiente:</w:t>
      </w:r>
    </w:p>
    <w:p w:rsidR="009F1C4F" w:rsidRPr="00DD29B3" w:rsidRDefault="009F1C4F" w:rsidP="00DD29B3">
      <w:pPr>
        <w:jc w:val="both"/>
        <w:rPr>
          <w:rFonts w:ascii="Times New Roman" w:hAnsi="Times New Roman" w:cs="Times New Roman"/>
          <w:sz w:val="24"/>
          <w:szCs w:val="24"/>
        </w:rPr>
      </w:pP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 xml:space="preserve">Parte I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Consagrar, si aún no lo han hecho, en sus constituciones nacionales y en cualquier otra legislación apropiada el principio de la igualdad del hombre y de la mujer y asegurar por ley u otros medios apropiados la realización práctica de ese principio;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b) Adoptar medidas adecuadas, legislativas y de otro carácter, con las sanciones correspondientes, que prohíban toda discriminación contra la mujer;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d) Abstenerse de incurrir en todo acto o práctica de discriminación contra la mujer y velar por que las autoridades e instituciones públicas actúen de conformidad con esta obligación;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e) Tomar todas las medidas apropiadas para eliminar la discriminación contra la mujer practicada por cualesquiera personas, organizaciones o empresas;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f) Adoptar todas las medidas adecuadas, incluso de carácter legislativo, para modificar o derogar leyes, reglamentos, usos y prácticas que constituyan discriminación contra la mujer;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g) Derogar todas las disposiciones penales nacionales que constituyan discriminación contra la mujer.</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3</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4</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La adopción por los Estados Partes de medidas especiales, incluso las contenidas en la presente Convención, encaminadas a proteger la maternidad no se considerará discriminatoria.</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5</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tomarán todas las medidas apropiadas para: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F12AFB" w:rsidRDefault="00F12AFB" w:rsidP="00DD29B3">
      <w:pPr>
        <w:jc w:val="both"/>
        <w:rPr>
          <w:rFonts w:ascii="Times New Roman" w:hAnsi="Times New Roman" w:cs="Times New Roman"/>
          <w:b/>
          <w:sz w:val="24"/>
          <w:szCs w:val="24"/>
        </w:rPr>
      </w:pPr>
    </w:p>
    <w:p w:rsidR="00F12AFB" w:rsidRDefault="00F12AFB" w:rsidP="00DD29B3">
      <w:pPr>
        <w:jc w:val="both"/>
        <w:rPr>
          <w:rFonts w:ascii="Times New Roman" w:hAnsi="Times New Roman" w:cs="Times New Roman"/>
          <w:b/>
          <w:sz w:val="24"/>
          <w:szCs w:val="24"/>
        </w:rPr>
      </w:pP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lastRenderedPageBreak/>
        <w:t>Artículo 6</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tomarán todas las medidas apropiadas, incluso de carácter legislativo, para suprimir todas las formas de trata de mujeres y explotación de la prostitución de la mujer.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 xml:space="preserve">Parte II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7</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tomarán todas las medidas apropiadas para eliminar la discriminación contra la mujer en la vida política y pública del país y, en particular, garantizarán a las mujeres, en igualdad de condiciones con los hombres, el derecho 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Votar en todas las elecciones y referéndums públicos y ser elegibles para todos los organismos cuyos miembros sean objeto de elecciones públicas;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b) Participar en la formulación de las políticas gubernamentales y en la ejecución de éstas, y ocupar cargos públicos y ejercer todas las funciones públicas en todos los planos gubernamentales;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c) Participar en organizaciones y en asociaciones no gubernamentales que se ocupen de la vida pública y política del país.</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8</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tomarán todas las medidas apropiadas para garantizar a la mujer, en </w:t>
      </w:r>
      <w:proofErr w:type="gramStart"/>
      <w:r w:rsidRPr="00DD29B3">
        <w:rPr>
          <w:rFonts w:ascii="Times New Roman" w:hAnsi="Times New Roman" w:cs="Times New Roman"/>
          <w:sz w:val="24"/>
          <w:szCs w:val="24"/>
        </w:rPr>
        <w:t>igualdad</w:t>
      </w:r>
      <w:proofErr w:type="gramEnd"/>
      <w:r w:rsidRPr="00DD29B3">
        <w:rPr>
          <w:rFonts w:ascii="Times New Roman" w:hAnsi="Times New Roman" w:cs="Times New Roman"/>
          <w:sz w:val="24"/>
          <w:szCs w:val="24"/>
        </w:rPr>
        <w:t xml:space="preserve"> de condiciones con el hombre y sin discriminación alguna, la oportunidad de representar a su gobierno en el plano internacional y de participar en la labor de las organizaciones internacionales.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9</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w:t>
      </w:r>
      <w:proofErr w:type="spellStart"/>
      <w:r w:rsidRPr="00DD29B3">
        <w:rPr>
          <w:rFonts w:ascii="Times New Roman" w:hAnsi="Times New Roman" w:cs="Times New Roman"/>
          <w:sz w:val="24"/>
          <w:szCs w:val="24"/>
        </w:rPr>
        <w:t>ápatrida</w:t>
      </w:r>
      <w:proofErr w:type="spellEnd"/>
      <w:r w:rsidRPr="00DD29B3">
        <w:rPr>
          <w:rFonts w:ascii="Times New Roman" w:hAnsi="Times New Roman" w:cs="Times New Roman"/>
          <w:sz w:val="24"/>
          <w:szCs w:val="24"/>
        </w:rPr>
        <w:t xml:space="preserve"> o la obliguen a adoptar la nacionalidad del cónyuge.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Los Estados Partes otorgarán a la mujer los mismos derechos que al hombre con respecto a la nacionalidad de sus hijos.</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 xml:space="preserve">Parte III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10</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Los Estados Partes adoptarán todas las medidas apropiadas para eliminar la discriminación contra la mujer, a fin de asegurarle la igualdad de derechos con el hombre en la esfera de la </w:t>
      </w:r>
      <w:proofErr w:type="gramStart"/>
      <w:r w:rsidRPr="00DD29B3">
        <w:rPr>
          <w:rFonts w:ascii="Times New Roman" w:hAnsi="Times New Roman" w:cs="Times New Roman"/>
          <w:sz w:val="24"/>
          <w:szCs w:val="24"/>
        </w:rPr>
        <w:t>educación</w:t>
      </w:r>
      <w:proofErr w:type="gramEnd"/>
      <w:r w:rsidRPr="00DD29B3">
        <w:rPr>
          <w:rFonts w:ascii="Times New Roman" w:hAnsi="Times New Roman" w:cs="Times New Roman"/>
          <w:sz w:val="24"/>
          <w:szCs w:val="24"/>
        </w:rPr>
        <w:t xml:space="preserve"> y en particular para asegurar, en condiciones de igualdad entre hombres y mujeres: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b) Acceso a los mismos programas de estudios, a los mismos exámenes, a personal docente del mismo nivel profesional y a locales y equipos escolares de la misma calidad;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d) Las mismas oportunidades para la obtención de becas y otras subvenciones para cursar estudios;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e) Las mismas oportunidades de acceso a los programas de educación permanente, incluidos los programas de alfabetización funcional y de adultos, con miras en particular a reducir lo antes posible toda diferencia de conocimientos que exista entre hombres y mujeres;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f) La reducción de la tasa de abandono femenino de los estudios y la organización de programas para aquellas jóvenes y mujeres que hayan dejado los estudios prematuramente;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g) Las mismas oportunidades para participar activamente en el deporte y la educación física;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h) Acceso al material informativo específico que contribuya a asegurar la salud y el bienestar de la familia, incluida la información y el asesoramiento sobre planificación de la familia.</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11</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adoptarán todas las medidas apropiadas para eliminar la discriminación contra la mujer en la esfera del empleo a fin de asegurar a la mujer, en condiciones de igualdad con los hombres, los mismos derechos, en particular: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El derecho al trabajo como derecho inalienable de todo ser humano;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b) El derecho a las mismas oportunidades de empleo, inclusive a la aplicación de los mismos criterios de selección en cuestiones de empleo;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d) El derecho a igual remuneración, inclusive prestaciones, y a igualdad de trato con respecto a un trabajo de igual valor, así como a igualdad de trato con respecto a la evaluación de la calidad del trabajo;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e) El derecho a la seguridad social, en particular en casos de jubilación, desempleo, enfermedad, invalidez, vejez u otra incapacidad para trabajar, así como el derecho a vacaciones pagadas;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f) El derecho a la protección de la salud y a la seguridad en las condiciones de trabajo, incluso la salvaguardia de la función de reproducción.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A fin de impedir la discriminación contra la mujer por razones de matrimonio o maternidad y asegurar la efectividad de su derecho a trabajar, los Estados Partes tomarán medidas adecuadas para: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Prohibir, bajo pena de sanciones, el despido por motivo de embarazo o licencia de maternidad y la discriminación en los despidos sobre la base del estado civil;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b) Implantar la licencia de maternidad con sueldo pagado o con prestaciones sociales comparables sin pérdida del empleo previo, la antigüedad o los beneficios sociales;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d) Prestar protección especial a la mujer durante el embarazo en los tipos de trabajos que se haya probado puedan resultar perjudiciales para ella.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3. La legislación protectora relacionada con las cuestiones comprendidas en este artículo será examinada periódicamente a la luz de los conocimientos científicos y tecnológicos y será revisada, derogada o ampliada según corresponda.</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12</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adoptarán todas las medidas apropiadas para eliminar la discriminación contra la mujer en la esfera de la atención médica a fin de asegurar, en </w:t>
      </w:r>
      <w:r w:rsidRPr="00DD29B3">
        <w:rPr>
          <w:rFonts w:ascii="Times New Roman" w:hAnsi="Times New Roman" w:cs="Times New Roman"/>
          <w:sz w:val="24"/>
          <w:szCs w:val="24"/>
        </w:rPr>
        <w:lastRenderedPageBreak/>
        <w:t xml:space="preserve">condiciones de igualdad entre hombres y mujeres, el acceso a servicios de atención médica, inclusive los que se refieren a la planificación de la familia.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13</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adoptarán todas las medidas apropiadas para eliminar la discriminación </w:t>
      </w:r>
      <w:proofErr w:type="gramStart"/>
      <w:r w:rsidRPr="00DD29B3">
        <w:rPr>
          <w:rFonts w:ascii="Times New Roman" w:hAnsi="Times New Roman" w:cs="Times New Roman"/>
          <w:sz w:val="24"/>
          <w:szCs w:val="24"/>
        </w:rPr>
        <w:t>contra</w:t>
      </w:r>
      <w:proofErr w:type="gramEnd"/>
      <w:r w:rsidRPr="00DD29B3">
        <w:rPr>
          <w:rFonts w:ascii="Times New Roman" w:hAnsi="Times New Roman" w:cs="Times New Roman"/>
          <w:sz w:val="24"/>
          <w:szCs w:val="24"/>
        </w:rPr>
        <w:t xml:space="preserve"> la mujer en otras esferas de la vida económica y social a fin de asegurar, en condiciones de igualdad entre hombres y mujeres, los mismos derechos, en particular: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El derecho a prestaciones familiares; </w:t>
      </w:r>
    </w:p>
    <w:p w:rsidR="009F1C4F" w:rsidRPr="00DD29B3" w:rsidRDefault="00DD29B3" w:rsidP="00DD29B3">
      <w:pPr>
        <w:jc w:val="both"/>
        <w:rPr>
          <w:rFonts w:ascii="Times New Roman" w:hAnsi="Times New Roman" w:cs="Times New Roman"/>
          <w:sz w:val="24"/>
          <w:szCs w:val="24"/>
        </w:rPr>
      </w:pPr>
      <w:r>
        <w:rPr>
          <w:rFonts w:ascii="Times New Roman" w:hAnsi="Times New Roman" w:cs="Times New Roman"/>
          <w:sz w:val="24"/>
          <w:szCs w:val="24"/>
        </w:rPr>
        <w:t>b</w:t>
      </w:r>
      <w:r w:rsidR="009F1C4F" w:rsidRPr="00DD29B3">
        <w:rPr>
          <w:rFonts w:ascii="Times New Roman" w:hAnsi="Times New Roman" w:cs="Times New Roman"/>
          <w:sz w:val="24"/>
          <w:szCs w:val="24"/>
        </w:rPr>
        <w:t xml:space="preserve">) El derecho a obtener préstamos bancarios, hipotecas y otras formas de crédito financiero;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c) El derecho a participar en actividades de esparcimiento, deportes y en todos los aspectos de la vida cultural.</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14</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Participar en la elaboración y ejecución de los planes de desarrollo a todos los niveles;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b) Tener acceso a servicios adecuados de atención médica, inclusive información, asesoramiento y servicios en materia de planificación de la familia;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c) Beneficiarse directamente de los programas de seguridad social;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d) Obtener todos los tipos de educación y de formación, académica y no académica, incluidos los relacionados con la alfabetización funcional, así como, entre otros, los beneficios de todos los servicios comunitarios y de divulgación a fin de aumentar su capacidad técnica;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e) Organizar grupos de autoayuda y cooperativas a fin de obtener igualdad de acceso a las oportunidades económicas mediante el empleo por cuenta propia o por cuenta ajena;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f) Participar en todas las actividades comunitarias; g) Obtener acceso a los créditos y préstamos agrícolas, a los servicios de comercialización y a las tecnologías apropiadas, y recibir un trato igual en los planes de reforma agraria y de reasentamiento;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h) Gozar de condiciones de vida adecuadas, particularmente en las esferas de la vivienda, los servicios sanitarios, la electricidad y el abastecimiento de agua, el transporte y las comunicaciones.</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 xml:space="preserve">Parte IV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15</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reconocerán a la mujer la igualdad con el hombre ante la ley.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3. Los Estados Partes convienen en que todo contrato o cualquier otro instrumento privado con efecto jurídico que tienda a limitar la capacidad jurídica de la mujer se considerará nulo.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4. Los Estados Partes reconocerán al hombre y a la mujer los mismos derechos con respecto a la legislación relativa al derecho de las personas a circular libremente y a la libertad para elegir su residencia y domicilio.</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16</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adoptarán todas las medidas adecuadas para eliminar la discriminación contra la mujer en todos los asuntos relacionados con el matrimonio y las relaciones familiares y, en particular, asegurarán en condiciones de igualdad entre hombres y mujeres: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El mismo derecho para contraer matrimonio;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b) El mismo derecho para elegir libremente cónyuge y contraer matrimonio sólo por su libre albedrío y su pleno consentimiento;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c) Los mismos derechos y responsabilidades durante el matrimonio y con ocasión de su disolución;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d) Los mismos derechos y responsabilidades como progenitores, cualquiera que sea su estado civil, en materias relacionadas con sus hijos; en todos los casos, los intereses de los hijos serán la consideración primordial;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e) Los mismos derechos a decidir libre y responsablemente el número de sus hijos y el intervalo entre los nacimientos y a tener acceso a la información, la educación y los medios que les permitan ejercer estos derechos; 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g) Los mismos derechos personales como marido y mujer, entre ellos el derecho a elegir apellido, profesión y ocupación;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h) Los mismos derechos a cada uno de los cónyuges en materia de propiedad, compras, gestión, administración, goce y disposición de los bienes, tanto a título gratuito como oneroso.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 xml:space="preserve">Parte V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17</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Los miembros del Comité serán elegidos en votación secreta de </w:t>
      </w:r>
      <w:proofErr w:type="gramStart"/>
      <w:r w:rsidRPr="00DD29B3">
        <w:rPr>
          <w:rFonts w:ascii="Times New Roman" w:hAnsi="Times New Roman" w:cs="Times New Roman"/>
          <w:sz w:val="24"/>
          <w:szCs w:val="24"/>
        </w:rPr>
        <w:t>un</w:t>
      </w:r>
      <w:proofErr w:type="gramEnd"/>
      <w:r w:rsidRPr="00DD29B3">
        <w:rPr>
          <w:rFonts w:ascii="Times New Roman" w:hAnsi="Times New Roman" w:cs="Times New Roman"/>
          <w:sz w:val="24"/>
          <w:szCs w:val="24"/>
        </w:rPr>
        <w:t xml:space="preserve"> lista de personas designadas por los Estados Partes. Cada uno de los Estados Partes podrá designar una persona entre sus propios nacionales.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3. La elección inicial se celebrará seis meses después de la fecha de entrada en vigor de la presente Convención. Al menos tres meses antes de la fecha de cada elección, el Secretario General de las Naciones Unidas dirigirá una carta a los Estados Partes invitándolos a </w:t>
      </w:r>
      <w:r w:rsidRPr="00DD29B3">
        <w:rPr>
          <w:rFonts w:ascii="Times New Roman" w:hAnsi="Times New Roman" w:cs="Times New Roman"/>
          <w:sz w:val="24"/>
          <w:szCs w:val="24"/>
        </w:rPr>
        <w:lastRenderedPageBreak/>
        <w:t xml:space="preserve">presentar sus candidaturas en un plazo de dos meses. El Secretario General preparará una lista por orden alfabético de todas las personas designadas de este modo, indicando los Estados Partes que las han designado, y la comunicará a los Estados Partes.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6. La elección de los cinco miembros adicionales del Comité se celebrará de conformidad con lo dispuesto en los párrafos 2, 3 y 4 del presente artículo, después de que el trigésimo quinto Estado Parte haya ratificado la Convención o se haya adherido a ella. El mandato de dos de los miembros adicionales elegidos en esta ocasión, cuyos nombres designará por sorteo el Presidente del Comité, expirará al cabo de dos años.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7. Para cubrir las vacantes imprevistas, el Estado Parte cuyo experto haya cesado en sus funciones como miembro del Comité designará entre sus nacionales a otro experto a reserva de la aprobación del Comité.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8. Los miembros del Comité, previa aprobación de la Asamblea General, percibirán emolumentos de los fondos de las Naciones Unidas en la forma y condiciones que la Asamblea determine, teniendo en cuenta la importancia de las funciones del Comité.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9. El Secretario General de las Naciones Unidas proporcionará el personal y los servicios necesarios para el desempeño eficaz de las funciones del Comité en virtud de la presente Convención.</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18</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a) En el plazo de un año a partir de la entrada en vigor de la Convención para el Estado de que se trate;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b) En lo sucesivo por lo menos cada cuatro años y, además, cuando el Comité lo solicite.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Se podrán indicar en los informes los factores y las dificultades que afecten al grado de cumplimiento de las obligaciones impuestas por la presente Convención.</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19</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El Comité aprobará su propio reglamento.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El Comité elegirá su Mesa por un período de dos años.</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20</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El Comité se reunirá normalmente todos los años por un período que no exceda de dos semanas para examinar los informes que se le presenten de conformidad con el artículo 18 de la presente Convención.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Las reuniones del Comité se celebrarán normalmente en la Sede de las Naciones Unidas o en cualquier otro sitio conveniente que determine el Comité.</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21</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El Comité, por conducto del Consejo Económico y Social, informará anualmente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El Secretario General de las Naciones Unidas transmitirá los informes del Comité a la Comisión de la Condición Jurídica y Social de la Mujer para su información.</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22</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organismos especializados tendrán derecho a estar representados en el examen de la </w:t>
      </w:r>
      <w:proofErr w:type="gramStart"/>
      <w:r w:rsidRPr="00DD29B3">
        <w:rPr>
          <w:rFonts w:ascii="Times New Roman" w:hAnsi="Times New Roman" w:cs="Times New Roman"/>
          <w:sz w:val="24"/>
          <w:szCs w:val="24"/>
        </w:rPr>
        <w:t>aplicación</w:t>
      </w:r>
      <w:proofErr w:type="gramEnd"/>
      <w:r w:rsidRPr="00DD29B3">
        <w:rPr>
          <w:rFonts w:ascii="Times New Roman" w:hAnsi="Times New Roman" w:cs="Times New Roman"/>
          <w:sz w:val="24"/>
          <w:szCs w:val="24"/>
        </w:rPr>
        <w:t xml:space="preserve"> de las disposiciones de la presente Convención que correspondan a la esfera de las actividades. El Comité podrá invitar a los organismos especializados a que presenten informes sobre la aplicación de la Convención en las áreas que correspondan a la esfera de sus actividades.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 xml:space="preserve">Parte VI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23</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Nada de lo dispuesto en la presente Convención afectará a disposición alguna que sea más conducente al logro de la igualdad entre hombres y mujeres y que pueda formar parte de: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lastRenderedPageBreak/>
        <w:t xml:space="preserve">a) La legislación de un Estado Parte; o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b) Cualquier otra convención, tratado o acuerdo internacional vigente en ese Estado.</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24</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Los Estados Partes se comprometen a adoptar todas las medidas necesarias en el ámbito </w:t>
      </w:r>
      <w:proofErr w:type="gramStart"/>
      <w:r w:rsidRPr="00DD29B3">
        <w:rPr>
          <w:rFonts w:ascii="Times New Roman" w:hAnsi="Times New Roman" w:cs="Times New Roman"/>
          <w:sz w:val="24"/>
          <w:szCs w:val="24"/>
        </w:rPr>
        <w:t>nacional</w:t>
      </w:r>
      <w:proofErr w:type="gramEnd"/>
      <w:r w:rsidRPr="00DD29B3">
        <w:rPr>
          <w:rFonts w:ascii="Times New Roman" w:hAnsi="Times New Roman" w:cs="Times New Roman"/>
          <w:sz w:val="24"/>
          <w:szCs w:val="24"/>
        </w:rPr>
        <w:t xml:space="preserve"> para conseguir la plena realización de los derechos reconocidos en la presente Convención. </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25</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La presente Convención estará abierta a la firma de todos los Estados.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Se designa al Secretario General de las Naciones Unidas depositario de la presente Convención.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3. La presente Convención está sujeta a ratificación. Los instrumentos de ratificación se depositaran en poder del Secretario General de las Naciones Unidas.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4. La presente Convención estará abierta a la adhesión de todos los Estados. La adhesión se efectuará depositando un instrumento de adhesión en poder del Secretario General de las Naciones Unidas.</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26</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En cualquier momento, cualquiera de los Estados Partes podrá formular una solicitud de revisión de la presente Convención mediante comunicación escrita dirigida al Secretario General de las Naciones Unidas.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La Asamblea General de las Naciones Unidas decidirá las medidas que, en caso necesario, hayan de adoptarse en lo que respecta a esa solicitud.</w:t>
      </w: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t>Artículo 27</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La presente Convención entrará en vigor el trigésimo día a partir de la fecha en que haya sido depositado en poder del Secretario General de las Naciones Unidas el vigésimo instrumento de ratificación o de adhesión.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DD29B3" w:rsidRDefault="00DD29B3" w:rsidP="00DD29B3">
      <w:pPr>
        <w:jc w:val="both"/>
        <w:rPr>
          <w:rFonts w:ascii="Times New Roman" w:hAnsi="Times New Roman" w:cs="Times New Roman"/>
          <w:b/>
          <w:sz w:val="24"/>
          <w:szCs w:val="24"/>
        </w:rPr>
      </w:pPr>
    </w:p>
    <w:p w:rsidR="00DD29B3" w:rsidRDefault="00DD29B3" w:rsidP="00DD29B3">
      <w:pPr>
        <w:jc w:val="both"/>
        <w:rPr>
          <w:rFonts w:ascii="Times New Roman" w:hAnsi="Times New Roman" w:cs="Times New Roman"/>
          <w:b/>
          <w:sz w:val="24"/>
          <w:szCs w:val="24"/>
        </w:rPr>
      </w:pPr>
    </w:p>
    <w:p w:rsidR="009F1C4F" w:rsidRPr="00DD29B3" w:rsidRDefault="009F1C4F" w:rsidP="00DD29B3">
      <w:pPr>
        <w:jc w:val="both"/>
        <w:rPr>
          <w:rFonts w:ascii="Times New Roman" w:hAnsi="Times New Roman" w:cs="Times New Roman"/>
          <w:b/>
          <w:sz w:val="24"/>
          <w:szCs w:val="24"/>
        </w:rPr>
      </w:pPr>
      <w:r w:rsidRPr="00DD29B3">
        <w:rPr>
          <w:rFonts w:ascii="Times New Roman" w:hAnsi="Times New Roman" w:cs="Times New Roman"/>
          <w:b/>
          <w:sz w:val="24"/>
          <w:szCs w:val="24"/>
        </w:rPr>
        <w:lastRenderedPageBreak/>
        <w:t>Artículo 28</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El Secretario General de las Naciones Unidas recibirá y comunicará a todos los Estados el texto de las reservas formuladas por los Estados en el momento de la ratificación o de la adhesión.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No se aceptará ninguna reserva incompatible con el objeto y el propósito de la presente Convención.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9F1C4F" w:rsidRPr="00F12AFB" w:rsidRDefault="009F1C4F" w:rsidP="00DD29B3">
      <w:pPr>
        <w:jc w:val="both"/>
        <w:rPr>
          <w:rFonts w:ascii="Times New Roman" w:hAnsi="Times New Roman" w:cs="Times New Roman"/>
          <w:b/>
          <w:sz w:val="24"/>
          <w:szCs w:val="24"/>
        </w:rPr>
      </w:pPr>
      <w:r w:rsidRPr="00F12AFB">
        <w:rPr>
          <w:rFonts w:ascii="Times New Roman" w:hAnsi="Times New Roman" w:cs="Times New Roman"/>
          <w:b/>
          <w:sz w:val="24"/>
          <w:szCs w:val="24"/>
        </w:rPr>
        <w:t>Artículo 29</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Parte que haya formulado esa reserva. </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3. Todo Estado Parte que haya formulado la reserva prevista en el párrafo 2 del presente artículo podrá retirarla en cualquier momento notificándolo al Secretario General de las Naciones Unidas.</w:t>
      </w:r>
    </w:p>
    <w:p w:rsidR="009F1C4F" w:rsidRPr="00F12AFB" w:rsidRDefault="009F1C4F" w:rsidP="00DD29B3">
      <w:pPr>
        <w:jc w:val="both"/>
        <w:rPr>
          <w:rFonts w:ascii="Times New Roman" w:hAnsi="Times New Roman" w:cs="Times New Roman"/>
          <w:b/>
          <w:sz w:val="24"/>
          <w:szCs w:val="24"/>
        </w:rPr>
      </w:pPr>
      <w:r w:rsidRPr="00F12AFB">
        <w:rPr>
          <w:rFonts w:ascii="Times New Roman" w:hAnsi="Times New Roman" w:cs="Times New Roman"/>
          <w:b/>
          <w:sz w:val="24"/>
          <w:szCs w:val="24"/>
        </w:rPr>
        <w:t>Artículo 30</w:t>
      </w:r>
    </w:p>
    <w:p w:rsidR="009F1C4F" w:rsidRPr="00DD29B3" w:rsidRDefault="009F1C4F" w:rsidP="00DD29B3">
      <w:pPr>
        <w:jc w:val="both"/>
        <w:rPr>
          <w:rFonts w:ascii="Times New Roman" w:hAnsi="Times New Roman" w:cs="Times New Roman"/>
          <w:sz w:val="24"/>
          <w:szCs w:val="24"/>
        </w:rPr>
      </w:pPr>
      <w:r w:rsidRPr="00DD29B3">
        <w:rPr>
          <w:rFonts w:ascii="Times New Roman" w:hAnsi="Times New Roman" w:cs="Times New Roman"/>
          <w:sz w:val="24"/>
          <w:szCs w:val="24"/>
        </w:rPr>
        <w:t xml:space="preserve">La presente Convención, cuyos textos en árabe, chino, español, francés, inglés y ruso son </w:t>
      </w:r>
      <w:proofErr w:type="gramStart"/>
      <w:r w:rsidRPr="00DD29B3">
        <w:rPr>
          <w:rFonts w:ascii="Times New Roman" w:hAnsi="Times New Roman" w:cs="Times New Roman"/>
          <w:sz w:val="24"/>
          <w:szCs w:val="24"/>
        </w:rPr>
        <w:t>igualmente</w:t>
      </w:r>
      <w:proofErr w:type="gramEnd"/>
      <w:r w:rsidRPr="00DD29B3">
        <w:rPr>
          <w:rFonts w:ascii="Times New Roman" w:hAnsi="Times New Roman" w:cs="Times New Roman"/>
          <w:sz w:val="24"/>
          <w:szCs w:val="24"/>
        </w:rPr>
        <w:t xml:space="preserve"> auténticos, se depositarán en poder del Secretario General de las Naciones Unidas. </w:t>
      </w:r>
    </w:p>
    <w:p w:rsidR="00E77BCD" w:rsidRPr="00DD29B3" w:rsidRDefault="00E77BCD" w:rsidP="00DD29B3">
      <w:pPr>
        <w:jc w:val="both"/>
        <w:rPr>
          <w:rFonts w:ascii="Times New Roman" w:hAnsi="Times New Roman" w:cs="Times New Roman"/>
          <w:sz w:val="24"/>
          <w:szCs w:val="24"/>
        </w:rPr>
      </w:pPr>
      <w:bookmarkStart w:id="0" w:name="_GoBack"/>
      <w:bookmarkEnd w:id="0"/>
    </w:p>
    <w:sectPr w:rsidR="00E77BCD" w:rsidRPr="00DD29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4F"/>
    <w:rsid w:val="009F1C4F"/>
    <w:rsid w:val="00DD29B3"/>
    <w:rsid w:val="00E77BCD"/>
    <w:rsid w:val="00F12AF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02AC-9AB3-4D37-B91C-DA3DC0DA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4705</Words>
  <Characters>25878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2011-12-15T20:14:00Z</dcterms:created>
  <dcterms:modified xsi:type="dcterms:W3CDTF">2012-09-17T23:00:00Z</dcterms:modified>
</cp:coreProperties>
</file>