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34358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00000" w:rsidRDefault="00234358">
            <w:pPr>
              <w:rPr>
                <w:rFonts w:eastAsia="Times New Roman"/>
              </w:rPr>
            </w:pPr>
          </w:p>
          <w:p w:rsidR="00000000" w:rsidRDefault="00234358">
            <w:pPr>
              <w:pStyle w:val="NormalWeb"/>
              <w:spacing w:before="0" w:beforeAutospacing="0" w:after="0" w:afterAutospacing="0"/>
              <w:jc w:val="center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DECRETO SUPREMO N°</w:t>
            </w:r>
            <w:r>
              <w:rPr>
                <w:b/>
                <w:bCs/>
                <w:color w:val="000000"/>
                <w:sz w:val="17"/>
                <w:szCs w:val="17"/>
                <w:u w:val="single"/>
              </w:rPr>
              <w:t xml:space="preserve"> 27294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center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color w:val="FFFFFF"/>
                <w:sz w:val="17"/>
                <w:szCs w:val="17"/>
                <w:u w:val="single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center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CARLOS D. MESA GISBERT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center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u w:val="single"/>
              </w:rPr>
              <w:t>PRESIDENTE CONSTITUCIONAL DE LA REPUBLICA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CONSIDERANDO: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Que el Decreto Supremo N° 26318 de 15 de septiembre de 2001, crea el Plan Nacional de Empleo de Emergencia – PLANE, con el propósito de reducir en el corto plazo, el impacto de la disminución de ingresos por la pérdida de empleo en la población más pobre d</w:t>
            </w:r>
            <w:r>
              <w:rPr>
                <w:sz w:val="17"/>
                <w:szCs w:val="17"/>
              </w:rPr>
              <w:t>el país.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Que el Decreto Supremo N° 26849 de 20 de noviembre de 2002, amplía la vigencia del PLANE hasta el 31 de diciembre de 2003.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Que la ampliación del PLANE ha servido y sirve para lograr mejor impacto en los ingresos de la población más vulnerable,</w:t>
            </w:r>
            <w:r>
              <w:rPr>
                <w:sz w:val="17"/>
                <w:szCs w:val="17"/>
              </w:rPr>
              <w:t xml:space="preserve"> con una mayor coordinación del financiamiento con las Prefecturas y Gobiernos Municipales, siendo que a través de la contratación de mano de obra temporal, se impulsa actividades económicas y sociales y, se fomenta la organización privada para la prestaci</w:t>
            </w:r>
            <w:r>
              <w:rPr>
                <w:sz w:val="17"/>
                <w:szCs w:val="17"/>
              </w:rPr>
              <w:t>ón de servicios, independiente del impacto en la incorporación de la mujer en la actividad productiva.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Que el Gobierno Nacional está implementando programas para generar empleos permanentes, siendo que el PLANE está coadyuvando para tal efecto.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Que par</w:t>
            </w:r>
            <w:r>
              <w:rPr>
                <w:sz w:val="17"/>
                <w:szCs w:val="17"/>
              </w:rPr>
              <w:t>a poder continuar atendiendo a la población más vulnerable con la dotación de empleos temporales, es necesario dictar el presente Decreto Supremo.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center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EN CONSEJO DE GABINETE,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 E C R E T A: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ARTICULO 1.- (OBJETO). </w:t>
            </w:r>
            <w:r>
              <w:rPr>
                <w:sz w:val="17"/>
                <w:szCs w:val="17"/>
              </w:rPr>
              <w:t>El presente Decreto Supremo tiene por obj</w:t>
            </w:r>
            <w:r>
              <w:rPr>
                <w:sz w:val="17"/>
                <w:szCs w:val="17"/>
              </w:rPr>
              <w:t>eto ampliar el plazo de ejecución del Plan Nacional de Empleo de Emergencia – PLANE.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ARTICULO 2.- (VIGENCIA Y PROGRAMAS). </w:t>
            </w:r>
            <w:r>
              <w:rPr>
                <w:sz w:val="17"/>
                <w:szCs w:val="17"/>
              </w:rPr>
              <w:t>Se amplía el plazo de ejecución del PLANE hasta el 31 de diciembre de 2004, mediante la aprobación de programas y reglamentación para su ejecución por el Directorio Unico de Fondos – DUF.</w:t>
            </w:r>
            <w:r>
              <w:rPr>
                <w:b/>
                <w:bCs/>
                <w:sz w:val="17"/>
                <w:szCs w:val="17"/>
              </w:rPr>
              <w:t xml:space="preserve"> 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ARTICULO 3.- (EJECUTORES DEL PLANE). </w:t>
            </w:r>
            <w:r>
              <w:rPr>
                <w:sz w:val="17"/>
                <w:szCs w:val="17"/>
              </w:rPr>
              <w:t>Las entidades ejecutoras del</w:t>
            </w:r>
            <w:r>
              <w:rPr>
                <w:sz w:val="17"/>
                <w:szCs w:val="17"/>
              </w:rPr>
              <w:t xml:space="preserve"> PLANE seguirán siendo las Prefecturas de Departamento, Gobiernos Municipales y otras que se determinan según programas.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ARTICULO 4.- (FINANCIAMIENTO). </w:t>
            </w:r>
            <w:r>
              <w:rPr>
                <w:sz w:val="17"/>
                <w:szCs w:val="17"/>
              </w:rPr>
              <w:t>Se instruye al Ministerio de Hacienda realizar todas las gestiones correspondientes para el financiami</w:t>
            </w:r>
            <w:r>
              <w:rPr>
                <w:sz w:val="17"/>
                <w:szCs w:val="17"/>
              </w:rPr>
              <w:t>ento del PLANE durante la Gestión Fiscal 2004.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ARTICULO 5.- (VIGENCIA DE NORMAS). </w:t>
            </w:r>
            <w:r>
              <w:rPr>
                <w:sz w:val="17"/>
                <w:szCs w:val="17"/>
              </w:rPr>
              <w:t>Quedan vigentes las disposiciones de los Decretos Supremos N° 26318 y N° 26849, en cuanto no sean contrarios al presente Decreto Supremo.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Los Señores Ministros de Estado en los Despachos de Hacienda y Responsable de Participación Popular quedan encargados de la ejecución y cumplimiento del presente Decreto Supremo.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Es dado en el Palacio de Gobierno de la ciudad de La Paz, a los veinte días</w:t>
            </w:r>
            <w:r>
              <w:rPr>
                <w:sz w:val="17"/>
                <w:szCs w:val="17"/>
              </w:rPr>
              <w:t xml:space="preserve"> del mes de diciembre del año dos mil tres.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jc w:val="both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  <w:p w:rsidR="00000000" w:rsidRDefault="00234358">
            <w:pPr>
              <w:pStyle w:val="NormalWeb"/>
              <w:spacing w:before="0" w:beforeAutospacing="0" w:after="0" w:afterAutospacing="0"/>
              <w:divId w:val="914317026"/>
              <w:rPr>
                <w:rFonts w:ascii="Arial" w:hAnsi="Arial" w:cs="Arial"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FDO. CARLOS D. MESA GISBERT,</w:t>
            </w:r>
            <w:r>
              <w:rPr>
                <w:sz w:val="17"/>
                <w:szCs w:val="17"/>
              </w:rPr>
              <w:t xml:space="preserve"> Juan Ignacio Siles del Valle, José Antonio Galindo Neder, Alfonso Ferrufino Valderrama, Gonzalo Arredondo Millán, Javier Gonzalo Cuevas Argote, Jorge Cortes Rodríguez, Xavier Nogale</w:t>
            </w:r>
            <w:r>
              <w:rPr>
                <w:sz w:val="17"/>
                <w:szCs w:val="17"/>
              </w:rPr>
              <w:t>s Iturri, Jorge Urquidi Barrau, Mauricio Bernardo Galleguillos Camacho Ministro Interino de Minería e Hidrocarburos, Donato Ayma Rojas, Erwin Saucedo Fuentes Ministro Interino de Salud y Deportes, Luis Fernández Fagalde, Diego Montenegro Ernst, Roberto Bar</w:t>
            </w:r>
            <w:r>
              <w:rPr>
                <w:sz w:val="17"/>
                <w:szCs w:val="17"/>
              </w:rPr>
              <w:t>bery Anaya, Justo Seoane Parapaino.</w:t>
            </w:r>
          </w:p>
          <w:p w:rsidR="00000000" w:rsidRDefault="00234358">
            <w:pPr>
              <w:pStyle w:val="NormalWeb"/>
            </w:pPr>
            <w:r>
              <w:rPr>
                <w:rStyle w:val="Textoennegrita"/>
              </w:rPr>
              <w:t>SUSCRIPCION OBLIGATORIA</w:t>
            </w:r>
            <w:r>
              <w:t xml:space="preserve"> </w:t>
            </w:r>
          </w:p>
          <w:p w:rsidR="00000000" w:rsidRDefault="00234358">
            <w:pPr>
              <w:jc w:val="center"/>
              <w:rPr>
                <w:rFonts w:eastAsia="Times New Roman"/>
              </w:rPr>
            </w:pPr>
            <w:r>
              <w:rPr>
                <w:rStyle w:val="Textoennegrita"/>
                <w:rFonts w:eastAsia="Times New Roman"/>
              </w:rPr>
              <w:t>DECRETO SUPREMO Nº 690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234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Style w:val="Textoennegrita"/>
                <w:rFonts w:eastAsia="Times New Roman"/>
              </w:rPr>
              <w:t xml:space="preserve">03 DE NOVIEMBRE DE 2010 .- </w:t>
            </w:r>
            <w:r>
              <w:rPr>
                <w:rFonts w:eastAsia="Times New Roman"/>
              </w:rPr>
              <w:t xml:space="preserve">Dispone la suscripción obligatoria, sin excepción </w:t>
            </w:r>
            <w:r>
              <w:rPr>
                <w:rFonts w:eastAsia="Times New Roman"/>
              </w:rPr>
              <w:lastRenderedPageBreak/>
              <w:t>alguna, de todas las entidades del sector público que conforman la estructura organizativa de</w:t>
            </w:r>
            <w:r>
              <w:rPr>
                <w:rFonts w:eastAsia="Times New Roman"/>
              </w:rPr>
              <w:t>l Organo Ejecutivo, así como de entidades y empresas públicas que se encuentran bajo su dependencia o tuición, a la Gaceta Oficial de Bolivia, dependiente del Ministerio de la Presidencia, para la obtención física de Leyes, Decretos y Resoluciones Supremas</w:t>
            </w:r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34358">
            <w:pPr>
              <w:jc w:val="right"/>
              <w:rPr>
                <w:rFonts w:eastAsia="Times New Roman"/>
              </w:rPr>
            </w:pPr>
          </w:p>
          <w:p w:rsidR="00000000" w:rsidRDefault="0023435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00000" w:rsidRDefault="00234358">
            <w:pPr>
              <w:jc w:val="right"/>
              <w:rPr>
                <w:rFonts w:eastAsia="Times New Roman"/>
              </w:rPr>
            </w:pPr>
            <w:r>
              <w:rPr>
                <w:rStyle w:val="Textoennegrita"/>
                <w:rFonts w:ascii="Arial" w:eastAsia="Times New Roman" w:hAnsi="Arial" w:cs="Arial"/>
                <w:sz w:val="17"/>
                <w:szCs w:val="17"/>
              </w:rPr>
              <w:t>TEXTO DE CONSULTA</w:t>
            </w:r>
            <w:r>
              <w:rPr>
                <w:rStyle w:val="Textoennegrita"/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Gaceta Oficial del Estado Plurinacional de Bolivia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Derechos Reservados © 2014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Textoennegrita"/>
                <w:rFonts w:ascii="Arial" w:eastAsia="Times New Roman" w:hAnsi="Arial" w:cs="Arial"/>
                <w:sz w:val="17"/>
                <w:szCs w:val="17"/>
              </w:rPr>
              <w:t>www.gacetaoficialdebolivia.gob.b</w:t>
            </w:r>
            <w:r>
              <w:rPr>
                <w:rStyle w:val="Textoennegrita"/>
                <w:rFonts w:ascii="Arial" w:eastAsia="Times New Roman" w:hAnsi="Arial" w:cs="Arial"/>
                <w:sz w:val="17"/>
                <w:szCs w:val="17"/>
              </w:rPr>
              <w:t>o</w:t>
            </w:r>
          </w:p>
        </w:tc>
      </w:tr>
    </w:tbl>
    <w:p w:rsidR="00234358" w:rsidRDefault="00234358">
      <w:pPr>
        <w:rPr>
          <w:rFonts w:eastAsia="Times New Roman"/>
        </w:rPr>
      </w:pPr>
    </w:p>
    <w:sectPr w:rsidR="002343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09F3"/>
    <w:rsid w:val="002109F3"/>
    <w:rsid w:val="00234358"/>
    <w:rsid w:val="00B4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0BD49D-E4A7-4172-A20E-FB7B962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3669</CharactersWithSpaces>
  <SharedDoc>false</SharedDoc>
  <HyperlinkBase>C:\Documents and Settings\Administrador\Escritorio\convertir\gaceta_ediciones_doc\2003\falta\G2549\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pc</dc:creator>
  <cp:keywords/>
  <dc:description/>
  <cp:lastModifiedBy>pc</cp:lastModifiedBy>
  <cp:revision>2</cp:revision>
  <dcterms:created xsi:type="dcterms:W3CDTF">2014-06-17T20:25:00Z</dcterms:created>
  <dcterms:modified xsi:type="dcterms:W3CDTF">2014-06-17T20:25:00Z</dcterms:modified>
</cp:coreProperties>
</file>