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E2C7F" w14:textId="0FC7F134" w:rsidR="00651C58" w:rsidRPr="00CB76D8" w:rsidRDefault="00651C58" w:rsidP="00D06A1A">
      <w:pPr>
        <w:spacing w:after="0"/>
        <w:jc w:val="both"/>
        <w:rPr>
          <w:b/>
          <w:sz w:val="24"/>
          <w:szCs w:val="24"/>
          <w:u w:val="single"/>
        </w:rPr>
      </w:pPr>
    </w:p>
    <w:p w14:paraId="2331D02F" w14:textId="77777777" w:rsidR="00B1738F" w:rsidRPr="00CB76D8" w:rsidRDefault="00B1738F" w:rsidP="00D06A1A">
      <w:pPr>
        <w:spacing w:after="0"/>
        <w:jc w:val="both"/>
        <w:rPr>
          <w:b/>
          <w:sz w:val="24"/>
          <w:szCs w:val="24"/>
          <w:u w:val="single"/>
        </w:rPr>
      </w:pPr>
    </w:p>
    <w:p w14:paraId="490C5C43" w14:textId="77777777" w:rsidR="00B1738F" w:rsidRPr="00CB76D8" w:rsidRDefault="00B1738F" w:rsidP="00D06A1A">
      <w:pPr>
        <w:spacing w:after="0"/>
        <w:jc w:val="both"/>
        <w:rPr>
          <w:b/>
          <w:sz w:val="24"/>
          <w:szCs w:val="24"/>
          <w:u w:val="single"/>
        </w:rPr>
      </w:pPr>
    </w:p>
    <w:p w14:paraId="7A3C513A" w14:textId="77777777" w:rsidR="00B1738F" w:rsidRPr="00CB76D8" w:rsidRDefault="00B1738F" w:rsidP="00D06A1A">
      <w:pPr>
        <w:spacing w:after="0"/>
        <w:jc w:val="both"/>
        <w:rPr>
          <w:b/>
          <w:sz w:val="24"/>
          <w:szCs w:val="24"/>
          <w:u w:val="single"/>
        </w:rPr>
      </w:pPr>
    </w:p>
    <w:p w14:paraId="77050492" w14:textId="77777777" w:rsidR="00B1738F" w:rsidRPr="00CB76D8" w:rsidRDefault="00B1738F" w:rsidP="00D06A1A">
      <w:pPr>
        <w:spacing w:after="0"/>
        <w:jc w:val="both"/>
        <w:rPr>
          <w:b/>
          <w:sz w:val="24"/>
          <w:szCs w:val="24"/>
          <w:u w:val="single"/>
        </w:rPr>
      </w:pPr>
    </w:p>
    <w:p w14:paraId="168D4177" w14:textId="77777777" w:rsidR="00B1738F" w:rsidRPr="00CB76D8" w:rsidRDefault="00B1738F" w:rsidP="00D06A1A">
      <w:pPr>
        <w:spacing w:after="0"/>
        <w:jc w:val="both"/>
        <w:rPr>
          <w:b/>
          <w:sz w:val="24"/>
          <w:szCs w:val="24"/>
          <w:u w:val="single"/>
        </w:rPr>
      </w:pPr>
    </w:p>
    <w:p w14:paraId="44151F6A" w14:textId="77777777" w:rsidR="00B1738F" w:rsidRPr="00CB76D8" w:rsidRDefault="00B1738F" w:rsidP="00D06A1A">
      <w:pPr>
        <w:spacing w:after="0"/>
        <w:jc w:val="both"/>
        <w:rPr>
          <w:b/>
          <w:sz w:val="24"/>
          <w:szCs w:val="24"/>
          <w:u w:val="single"/>
        </w:rPr>
      </w:pPr>
    </w:p>
    <w:p w14:paraId="7962ED49" w14:textId="77777777" w:rsidR="00B1738F" w:rsidRPr="00CB76D8" w:rsidRDefault="00B1738F" w:rsidP="00D06A1A">
      <w:pPr>
        <w:spacing w:after="0"/>
        <w:jc w:val="both"/>
        <w:rPr>
          <w:b/>
          <w:sz w:val="24"/>
          <w:szCs w:val="24"/>
          <w:u w:val="single"/>
        </w:rPr>
      </w:pPr>
    </w:p>
    <w:p w14:paraId="63360A2B" w14:textId="77777777" w:rsidR="00B1738F" w:rsidRPr="00CB76D8" w:rsidRDefault="00B1738F" w:rsidP="00D06A1A">
      <w:pPr>
        <w:spacing w:after="0"/>
        <w:jc w:val="both"/>
        <w:rPr>
          <w:b/>
          <w:sz w:val="24"/>
          <w:szCs w:val="24"/>
          <w:u w:val="single"/>
        </w:rPr>
      </w:pPr>
    </w:p>
    <w:p w14:paraId="2B310F2E" w14:textId="77777777" w:rsidR="00B1738F" w:rsidRPr="00CB76D8" w:rsidRDefault="00B1738F" w:rsidP="00D06A1A">
      <w:pPr>
        <w:spacing w:after="0"/>
        <w:jc w:val="both"/>
        <w:rPr>
          <w:b/>
          <w:sz w:val="24"/>
          <w:szCs w:val="24"/>
          <w:u w:val="single"/>
        </w:rPr>
      </w:pPr>
    </w:p>
    <w:p w14:paraId="2F5F3F52" w14:textId="4EAD697F" w:rsidR="00B1738F" w:rsidRDefault="00B1738F" w:rsidP="00B1738F">
      <w:pPr>
        <w:shd w:val="clear" w:color="auto" w:fill="DDD9C3" w:themeFill="background2" w:themeFillShade="E6"/>
        <w:spacing w:after="0"/>
        <w:jc w:val="center"/>
        <w:rPr>
          <w:rFonts w:cstheme="minorHAnsi"/>
          <w:b/>
          <w:sz w:val="28"/>
          <w:szCs w:val="28"/>
          <w:lang w:val="es-CO"/>
        </w:rPr>
      </w:pPr>
      <w:r w:rsidRPr="00CB76D8">
        <w:rPr>
          <w:rFonts w:cstheme="minorHAnsi"/>
          <w:b/>
          <w:sz w:val="28"/>
          <w:szCs w:val="28"/>
          <w:lang w:val="es-CO"/>
        </w:rPr>
        <w:t xml:space="preserve">SUGERENCIAS PARA LA LISTA DE CUESTIONES PREVIA AL REPORTE A SER ADOPTADO POR EL COMITÉ DE LA CONVENCIÓN </w:t>
      </w:r>
      <w:r w:rsidRPr="00CB76D8">
        <w:rPr>
          <w:rFonts w:cstheme="minorHAnsi"/>
          <w:b/>
          <w:sz w:val="28"/>
          <w:szCs w:val="28"/>
        </w:rPr>
        <w:t>SOBRE LA ELIMINACIÓN DE TODAS LAS FORMAS DE DISCRIMINACIÓN CONTRA LA MUJER – CEDAW EN SU 78ª SESIÓN EN RELACIÓN A</w:t>
      </w:r>
      <w:r w:rsidRPr="00CB76D8">
        <w:rPr>
          <w:rFonts w:cstheme="minorHAnsi"/>
          <w:b/>
          <w:sz w:val="28"/>
          <w:szCs w:val="28"/>
          <w:lang w:val="es-CO"/>
        </w:rPr>
        <w:t xml:space="preserve">L ESTADO PARTE PLURINACIONAL DE BOLIVIA </w:t>
      </w:r>
    </w:p>
    <w:p w14:paraId="272F29F5" w14:textId="28D6F178" w:rsidR="00876B19" w:rsidRPr="00876B19" w:rsidRDefault="00876B19" w:rsidP="00B1738F">
      <w:pPr>
        <w:shd w:val="clear" w:color="auto" w:fill="DDD9C3" w:themeFill="background2" w:themeFillShade="E6"/>
        <w:spacing w:after="0"/>
        <w:jc w:val="center"/>
        <w:rPr>
          <w:rFonts w:cstheme="minorHAnsi"/>
          <w:b/>
          <w:sz w:val="28"/>
          <w:szCs w:val="28"/>
          <w:lang w:val="es-CO"/>
        </w:rPr>
      </w:pPr>
      <w:r w:rsidRPr="00876B19">
        <w:rPr>
          <w:rFonts w:eastAsia="Calibri" w:hAnsi="Times New Roman" w:cs="Times New Roman"/>
          <w:b/>
          <w:bCs/>
          <w:noProof/>
          <w:color w:val="0000FF"/>
          <w:sz w:val="28"/>
          <w:szCs w:val="28"/>
          <w:lang w:val="es-ES_tradnl"/>
        </w:rPr>
        <w:t>PARA EL GRUPO DE TRABAJO ANTERIOR AL 78</w:t>
      </w:r>
      <w:r w:rsidRPr="00876B19">
        <w:rPr>
          <w:rFonts w:eastAsia="Calibri" w:hAnsi="Times New Roman" w:cs="Times New Roman"/>
          <w:b/>
          <w:bCs/>
          <w:noProof/>
          <w:color w:val="0000FF"/>
          <w:sz w:val="28"/>
          <w:szCs w:val="28"/>
          <w:lang w:val="es-ES_tradnl"/>
        </w:rPr>
        <w:t>°</w:t>
      </w:r>
      <w:r w:rsidRPr="00876B19">
        <w:rPr>
          <w:rFonts w:eastAsia="Calibri" w:hAnsi="Times New Roman" w:cs="Times New Roman"/>
          <w:b/>
          <w:bCs/>
          <w:noProof/>
          <w:color w:val="0000FF"/>
          <w:sz w:val="28"/>
          <w:szCs w:val="28"/>
          <w:lang w:val="es-ES_tradnl"/>
        </w:rPr>
        <w:t xml:space="preserve"> PER</w:t>
      </w:r>
      <w:r w:rsidRPr="00876B19">
        <w:rPr>
          <w:rFonts w:eastAsia="Calibri" w:hAnsi="Times New Roman" w:cs="Times New Roman"/>
          <w:b/>
          <w:bCs/>
          <w:noProof/>
          <w:color w:val="0000FF"/>
          <w:sz w:val="28"/>
          <w:szCs w:val="28"/>
          <w:lang w:val="es-ES_tradnl"/>
        </w:rPr>
        <w:t>Í</w:t>
      </w:r>
      <w:r w:rsidRPr="00876B19">
        <w:rPr>
          <w:rFonts w:eastAsia="Calibri" w:hAnsi="Times New Roman" w:cs="Times New Roman"/>
          <w:b/>
          <w:bCs/>
          <w:noProof/>
          <w:color w:val="0000FF"/>
          <w:sz w:val="28"/>
          <w:szCs w:val="28"/>
          <w:lang w:val="es-ES_tradnl"/>
        </w:rPr>
        <w:t>ODO DE SESIONES</w:t>
      </w:r>
    </w:p>
    <w:p w14:paraId="740D0A26" w14:textId="77777777" w:rsidR="00B1738F" w:rsidRPr="00CB76D8" w:rsidRDefault="00B1738F" w:rsidP="00B1738F">
      <w:pPr>
        <w:shd w:val="clear" w:color="auto" w:fill="DDD9C3" w:themeFill="background2" w:themeFillShade="E6"/>
        <w:spacing w:after="0"/>
        <w:jc w:val="center"/>
        <w:rPr>
          <w:rFonts w:cstheme="minorHAnsi"/>
          <w:b/>
          <w:sz w:val="24"/>
          <w:szCs w:val="24"/>
          <w:lang w:val="es-CO"/>
        </w:rPr>
      </w:pPr>
    </w:p>
    <w:p w14:paraId="334B3A15" w14:textId="6554BE25" w:rsidR="00B1738F" w:rsidRPr="00CB76D8" w:rsidRDefault="00B1738F" w:rsidP="00B1738F">
      <w:pPr>
        <w:shd w:val="clear" w:color="auto" w:fill="DDD9C3" w:themeFill="background2" w:themeFillShade="E6"/>
        <w:spacing w:after="0"/>
        <w:jc w:val="center"/>
        <w:rPr>
          <w:rFonts w:cstheme="minorHAnsi"/>
          <w:b/>
          <w:sz w:val="24"/>
          <w:szCs w:val="24"/>
          <w:lang w:val="es-CO"/>
        </w:rPr>
      </w:pPr>
      <w:r w:rsidRPr="00CB76D8">
        <w:rPr>
          <w:rFonts w:cstheme="minorHAnsi"/>
          <w:b/>
          <w:sz w:val="24"/>
          <w:szCs w:val="24"/>
          <w:lang w:val="es-CO"/>
        </w:rPr>
        <w:t>Presentado por:</w:t>
      </w:r>
    </w:p>
    <w:p w14:paraId="51A4DFD2" w14:textId="77777777" w:rsidR="00971CFD" w:rsidRPr="00CB76D8" w:rsidRDefault="00971CFD" w:rsidP="00971CFD">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Comunidad de Derechos Humanos</w:t>
      </w:r>
    </w:p>
    <w:p w14:paraId="28A59392"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Casa de la Mujer</w:t>
      </w:r>
    </w:p>
    <w:p w14:paraId="731AFEF5"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Católicas por el Derechos a Decidir</w:t>
      </w:r>
    </w:p>
    <w:p w14:paraId="2DD7827D"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Coordinadora de la Mujer</w:t>
      </w:r>
    </w:p>
    <w:p w14:paraId="3FB5AE95"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 xml:space="preserve">Equipo de Comunicación Alternativa con Mujeres </w:t>
      </w:r>
    </w:p>
    <w:p w14:paraId="37F7544F"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Fundación Construir</w:t>
      </w:r>
    </w:p>
    <w:p w14:paraId="609CB294" w14:textId="35E2FE2B" w:rsidR="00971CFD" w:rsidRDefault="00971CFD"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Instituto O´</w:t>
      </w:r>
      <w:r w:rsidR="009E325F">
        <w:rPr>
          <w:rFonts w:cstheme="minorHAnsi"/>
          <w:sz w:val="24"/>
          <w:szCs w:val="24"/>
          <w:lang w:val="es-CO"/>
        </w:rPr>
        <w:t>N</w:t>
      </w:r>
      <w:r w:rsidRPr="00CB76D8">
        <w:rPr>
          <w:rFonts w:cstheme="minorHAnsi"/>
          <w:sz w:val="24"/>
          <w:szCs w:val="24"/>
          <w:lang w:val="es-CO"/>
        </w:rPr>
        <w:t>eil</w:t>
      </w:r>
      <w:r w:rsidR="007F14E0">
        <w:rPr>
          <w:rFonts w:cstheme="minorHAnsi"/>
          <w:sz w:val="24"/>
          <w:szCs w:val="24"/>
          <w:lang w:val="es-CO"/>
        </w:rPr>
        <w:t>l</w:t>
      </w:r>
    </w:p>
    <w:p w14:paraId="266A2DCC"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bookmarkStart w:id="0" w:name="_GoBack"/>
      <w:bookmarkEnd w:id="0"/>
      <w:r w:rsidRPr="00CB76D8">
        <w:rPr>
          <w:rFonts w:cstheme="minorHAnsi"/>
          <w:sz w:val="24"/>
          <w:szCs w:val="24"/>
          <w:lang w:val="es-CO"/>
        </w:rPr>
        <w:t>Libertades Laicas</w:t>
      </w:r>
    </w:p>
    <w:p w14:paraId="526BAF71"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Oficina Jurídica de la Mujer</w:t>
      </w:r>
    </w:p>
    <w:p w14:paraId="08367512" w14:textId="77777777" w:rsidR="00B1738F" w:rsidRPr="00CB76D8" w:rsidRDefault="00B1738F" w:rsidP="00B1738F">
      <w:pPr>
        <w:shd w:val="clear" w:color="auto" w:fill="DDD9C3" w:themeFill="background2" w:themeFillShade="E6"/>
        <w:spacing w:after="0"/>
        <w:jc w:val="center"/>
        <w:rPr>
          <w:rFonts w:cstheme="minorHAnsi"/>
          <w:sz w:val="24"/>
          <w:szCs w:val="24"/>
          <w:lang w:val="es-CO"/>
        </w:rPr>
      </w:pPr>
      <w:r w:rsidRPr="00CB76D8">
        <w:rPr>
          <w:rFonts w:cstheme="minorHAnsi"/>
          <w:sz w:val="24"/>
          <w:szCs w:val="24"/>
          <w:lang w:val="es-CO"/>
        </w:rPr>
        <w:t>Plan International</w:t>
      </w:r>
    </w:p>
    <w:p w14:paraId="456D2221" w14:textId="77777777" w:rsidR="00971CFD" w:rsidRPr="00CB76D8" w:rsidRDefault="00971CFD" w:rsidP="00B1738F">
      <w:pPr>
        <w:shd w:val="clear" w:color="auto" w:fill="DDD9C3" w:themeFill="background2" w:themeFillShade="E6"/>
        <w:spacing w:after="0"/>
        <w:jc w:val="center"/>
        <w:rPr>
          <w:rFonts w:cstheme="minorHAnsi"/>
          <w:sz w:val="24"/>
          <w:szCs w:val="24"/>
          <w:lang w:val="es-CO"/>
        </w:rPr>
      </w:pPr>
    </w:p>
    <w:p w14:paraId="06C33198" w14:textId="3F0291B5" w:rsidR="00971CFD" w:rsidRPr="00CB76D8" w:rsidRDefault="00971CFD" w:rsidP="00B1738F">
      <w:pPr>
        <w:shd w:val="clear" w:color="auto" w:fill="DDD9C3" w:themeFill="background2" w:themeFillShade="E6"/>
        <w:spacing w:after="0"/>
        <w:jc w:val="center"/>
        <w:rPr>
          <w:rFonts w:cstheme="minorHAnsi"/>
          <w:b/>
          <w:sz w:val="24"/>
          <w:szCs w:val="24"/>
          <w:lang w:val="es-CO"/>
        </w:rPr>
      </w:pPr>
      <w:r w:rsidRPr="00CB76D8">
        <w:rPr>
          <w:rFonts w:cstheme="minorHAnsi"/>
          <w:b/>
          <w:sz w:val="24"/>
          <w:szCs w:val="24"/>
          <w:lang w:val="es-CO"/>
        </w:rPr>
        <w:t>Bolivia, junio 2020</w:t>
      </w:r>
    </w:p>
    <w:p w14:paraId="305E31B4" w14:textId="77777777" w:rsidR="00B1738F" w:rsidRPr="00CB76D8" w:rsidRDefault="00B1738F" w:rsidP="00B1738F">
      <w:pPr>
        <w:shd w:val="clear" w:color="auto" w:fill="DDD9C3" w:themeFill="background2" w:themeFillShade="E6"/>
        <w:spacing w:after="0"/>
        <w:jc w:val="center"/>
        <w:rPr>
          <w:rFonts w:cstheme="minorHAnsi"/>
          <w:b/>
          <w:sz w:val="24"/>
          <w:szCs w:val="24"/>
          <w:lang w:val="es-CO"/>
        </w:rPr>
      </w:pPr>
    </w:p>
    <w:p w14:paraId="6105B11C" w14:textId="77777777" w:rsidR="00B1738F" w:rsidRPr="00CB76D8" w:rsidRDefault="00B1738F" w:rsidP="00D06A1A">
      <w:pPr>
        <w:spacing w:after="0"/>
        <w:jc w:val="both"/>
        <w:rPr>
          <w:b/>
          <w:sz w:val="24"/>
          <w:szCs w:val="24"/>
          <w:u w:val="single"/>
        </w:rPr>
      </w:pPr>
    </w:p>
    <w:p w14:paraId="4419B413" w14:textId="77777777" w:rsidR="00B1738F" w:rsidRPr="00CB76D8" w:rsidRDefault="00B1738F" w:rsidP="00D06A1A">
      <w:pPr>
        <w:spacing w:after="0"/>
        <w:jc w:val="both"/>
        <w:rPr>
          <w:b/>
          <w:sz w:val="24"/>
          <w:szCs w:val="24"/>
          <w:u w:val="single"/>
        </w:rPr>
      </w:pPr>
    </w:p>
    <w:p w14:paraId="291E123F" w14:textId="77777777" w:rsidR="00B1738F" w:rsidRPr="00CB76D8" w:rsidRDefault="00B1738F" w:rsidP="00D06A1A">
      <w:pPr>
        <w:spacing w:after="0"/>
        <w:jc w:val="both"/>
        <w:rPr>
          <w:b/>
          <w:sz w:val="24"/>
          <w:szCs w:val="24"/>
          <w:u w:val="single"/>
        </w:rPr>
      </w:pPr>
    </w:p>
    <w:p w14:paraId="01AED075" w14:textId="77777777" w:rsidR="00B1738F" w:rsidRPr="00CB76D8" w:rsidRDefault="00B1738F" w:rsidP="00D06A1A">
      <w:pPr>
        <w:spacing w:after="0"/>
        <w:jc w:val="both"/>
        <w:rPr>
          <w:b/>
          <w:sz w:val="24"/>
          <w:szCs w:val="24"/>
          <w:u w:val="single"/>
        </w:rPr>
      </w:pPr>
    </w:p>
    <w:p w14:paraId="2A7FDC9E" w14:textId="77777777" w:rsidR="00B1738F" w:rsidRPr="00CB76D8" w:rsidRDefault="00B1738F" w:rsidP="00D06A1A">
      <w:pPr>
        <w:spacing w:after="0"/>
        <w:jc w:val="both"/>
        <w:rPr>
          <w:b/>
          <w:sz w:val="24"/>
          <w:szCs w:val="24"/>
          <w:u w:val="single"/>
        </w:rPr>
      </w:pPr>
    </w:p>
    <w:p w14:paraId="063F5127" w14:textId="77777777" w:rsidR="00B1738F" w:rsidRPr="00CB76D8" w:rsidRDefault="00B1738F" w:rsidP="00D06A1A">
      <w:pPr>
        <w:spacing w:after="0"/>
        <w:jc w:val="both"/>
        <w:rPr>
          <w:b/>
          <w:sz w:val="24"/>
          <w:szCs w:val="24"/>
          <w:u w:val="single"/>
        </w:rPr>
      </w:pPr>
    </w:p>
    <w:p w14:paraId="4618EEAE" w14:textId="77777777" w:rsidR="00B1738F" w:rsidRPr="00CB76D8" w:rsidRDefault="00B1738F" w:rsidP="00D06A1A">
      <w:pPr>
        <w:spacing w:after="0"/>
        <w:jc w:val="both"/>
        <w:rPr>
          <w:b/>
          <w:sz w:val="24"/>
          <w:szCs w:val="24"/>
          <w:u w:val="single"/>
        </w:rPr>
      </w:pPr>
    </w:p>
    <w:p w14:paraId="367D7DFA" w14:textId="77777777" w:rsidR="00B1738F" w:rsidRDefault="00B1738F" w:rsidP="00B1738F">
      <w:pPr>
        <w:shd w:val="clear" w:color="auto" w:fill="DDD9C3" w:themeFill="background2" w:themeFillShade="E6"/>
        <w:spacing w:after="0"/>
        <w:jc w:val="center"/>
        <w:rPr>
          <w:rFonts w:cstheme="minorHAnsi"/>
          <w:b/>
          <w:sz w:val="24"/>
          <w:szCs w:val="24"/>
          <w:lang w:val="es-CO"/>
        </w:rPr>
      </w:pPr>
      <w:r w:rsidRPr="00CB76D8">
        <w:rPr>
          <w:rFonts w:cstheme="minorHAnsi"/>
          <w:b/>
          <w:sz w:val="24"/>
          <w:szCs w:val="24"/>
          <w:lang w:val="es-CO"/>
        </w:rPr>
        <w:t xml:space="preserve">SUGERENCIAS PARA LA LISTA DE CUESTIONES PREVIA AL REPORTE A SER ADOPTADO POR EL COMITÉ DE LA CONVENCIÓN </w:t>
      </w:r>
      <w:r w:rsidRPr="00CB76D8">
        <w:rPr>
          <w:rFonts w:cstheme="minorHAnsi"/>
          <w:b/>
          <w:sz w:val="24"/>
          <w:szCs w:val="24"/>
        </w:rPr>
        <w:t>SOBRE LA ELIMINACIÓN DE TODAS LAS FORMAS DE DISCRIMINACIÓN CONTRA LA MUJER – CEDAW EN SU 78ª SESIÓN EN RELACIÓN A</w:t>
      </w:r>
      <w:r w:rsidRPr="00CB76D8">
        <w:rPr>
          <w:rFonts w:cstheme="minorHAnsi"/>
          <w:b/>
          <w:sz w:val="24"/>
          <w:szCs w:val="24"/>
          <w:lang w:val="es-CO"/>
        </w:rPr>
        <w:t xml:space="preserve">L ESTADO PARTE PLURINACIONAL DE BOLIVIA </w:t>
      </w:r>
    </w:p>
    <w:p w14:paraId="4E7F0C96" w14:textId="77777777" w:rsidR="00876B19" w:rsidRPr="00876B19" w:rsidRDefault="00876B19" w:rsidP="00876B19">
      <w:pPr>
        <w:shd w:val="clear" w:color="auto" w:fill="DDD9C3" w:themeFill="background2" w:themeFillShade="E6"/>
        <w:spacing w:after="0"/>
        <w:jc w:val="center"/>
        <w:rPr>
          <w:rFonts w:cstheme="minorHAnsi"/>
          <w:b/>
          <w:sz w:val="24"/>
          <w:szCs w:val="24"/>
          <w:lang w:val="es-CO"/>
        </w:rPr>
      </w:pPr>
      <w:r w:rsidRPr="00876B19">
        <w:rPr>
          <w:rFonts w:eastAsia="Calibri" w:hAnsi="Times New Roman" w:cs="Times New Roman"/>
          <w:b/>
          <w:bCs/>
          <w:noProof/>
          <w:sz w:val="24"/>
          <w:szCs w:val="24"/>
          <w:lang w:val="es-ES_tradnl"/>
        </w:rPr>
        <w:t>PARA EL GRUPO DE TRABAJO ANTERIOR AL 78</w:t>
      </w:r>
      <w:r w:rsidRPr="00876B19">
        <w:rPr>
          <w:rFonts w:eastAsia="Calibri" w:hAnsi="Times New Roman" w:cs="Times New Roman"/>
          <w:b/>
          <w:bCs/>
          <w:noProof/>
          <w:sz w:val="24"/>
          <w:szCs w:val="24"/>
          <w:lang w:val="es-ES_tradnl"/>
        </w:rPr>
        <w:t>°</w:t>
      </w:r>
      <w:r w:rsidRPr="00876B19">
        <w:rPr>
          <w:rFonts w:eastAsia="Calibri" w:hAnsi="Times New Roman" w:cs="Times New Roman"/>
          <w:b/>
          <w:bCs/>
          <w:noProof/>
          <w:sz w:val="24"/>
          <w:szCs w:val="24"/>
          <w:lang w:val="es-ES_tradnl"/>
        </w:rPr>
        <w:t xml:space="preserve"> PER</w:t>
      </w:r>
      <w:r w:rsidRPr="00876B19">
        <w:rPr>
          <w:rFonts w:eastAsia="Calibri" w:hAnsi="Times New Roman" w:cs="Times New Roman"/>
          <w:b/>
          <w:bCs/>
          <w:noProof/>
          <w:sz w:val="24"/>
          <w:szCs w:val="24"/>
          <w:lang w:val="es-ES_tradnl"/>
        </w:rPr>
        <w:t>Í</w:t>
      </w:r>
      <w:r w:rsidRPr="00876B19">
        <w:rPr>
          <w:rFonts w:eastAsia="Calibri" w:hAnsi="Times New Roman" w:cs="Times New Roman"/>
          <w:b/>
          <w:bCs/>
          <w:noProof/>
          <w:sz w:val="24"/>
          <w:szCs w:val="24"/>
          <w:lang w:val="es-ES_tradnl"/>
        </w:rPr>
        <w:t>ODO DE SESIONES</w:t>
      </w:r>
    </w:p>
    <w:p w14:paraId="1819F29F" w14:textId="77777777" w:rsidR="00B1738F" w:rsidRPr="00CB76D8" w:rsidRDefault="00B1738F" w:rsidP="00D06A1A">
      <w:pPr>
        <w:spacing w:after="0"/>
        <w:jc w:val="both"/>
        <w:rPr>
          <w:b/>
          <w:sz w:val="24"/>
          <w:szCs w:val="24"/>
          <w:u w:val="single"/>
        </w:rPr>
      </w:pPr>
    </w:p>
    <w:p w14:paraId="146E0278" w14:textId="2CEFBAE4" w:rsidR="00651C58" w:rsidRPr="00CB76D8" w:rsidRDefault="00F53C23" w:rsidP="00D06A1A">
      <w:pPr>
        <w:jc w:val="both"/>
        <w:rPr>
          <w:b/>
          <w:sz w:val="24"/>
          <w:szCs w:val="24"/>
        </w:rPr>
      </w:pPr>
      <w:r w:rsidRPr="00CB76D8">
        <w:rPr>
          <w:b/>
          <w:sz w:val="24"/>
          <w:szCs w:val="24"/>
        </w:rPr>
        <w:t>DECLARACIÓN DE INTERÉS</w:t>
      </w:r>
    </w:p>
    <w:p w14:paraId="5B91CE4F" w14:textId="5D325600" w:rsidR="00F53C23" w:rsidRPr="00876B19" w:rsidRDefault="00B1738F" w:rsidP="007C560D">
      <w:pPr>
        <w:pStyle w:val="H23"/>
        <w:spacing w:line="276" w:lineRule="auto"/>
        <w:jc w:val="both"/>
        <w:rPr>
          <w:rFonts w:asciiTheme="minorHAnsi" w:hAnsiTheme="minorHAnsi" w:cstheme="minorHAnsi"/>
          <w:b w:val="0"/>
          <w:bCs/>
          <w:sz w:val="24"/>
          <w:szCs w:val="24"/>
          <w:lang w:val="es-CO"/>
        </w:rPr>
      </w:pPr>
      <w:r w:rsidRPr="00CB76D8">
        <w:rPr>
          <w:rFonts w:asciiTheme="minorHAnsi" w:hAnsiTheme="minorHAnsi" w:cstheme="minorHAnsi"/>
          <w:b w:val="0"/>
          <w:sz w:val="24"/>
          <w:szCs w:val="24"/>
        </w:rPr>
        <w:t>La C</w:t>
      </w:r>
      <w:r w:rsidR="00F53C23" w:rsidRPr="00CB76D8">
        <w:rPr>
          <w:rFonts w:asciiTheme="minorHAnsi" w:hAnsiTheme="minorHAnsi" w:cstheme="minorHAnsi"/>
          <w:b w:val="0"/>
          <w:sz w:val="24"/>
          <w:szCs w:val="24"/>
        </w:rPr>
        <w:t xml:space="preserve">oalición de </w:t>
      </w:r>
      <w:r w:rsidRPr="00CB76D8">
        <w:rPr>
          <w:rFonts w:asciiTheme="minorHAnsi" w:hAnsiTheme="minorHAnsi" w:cstheme="minorHAnsi"/>
          <w:b w:val="0"/>
          <w:sz w:val="24"/>
          <w:szCs w:val="24"/>
        </w:rPr>
        <w:t xml:space="preserve">Organizaciones de la Sociedad Civil </w:t>
      </w:r>
      <w:r w:rsidR="00876B19">
        <w:rPr>
          <w:rFonts w:asciiTheme="minorHAnsi" w:hAnsiTheme="minorHAnsi" w:cstheme="minorHAnsi"/>
          <w:b w:val="0"/>
          <w:sz w:val="24"/>
          <w:szCs w:val="24"/>
        </w:rPr>
        <w:t xml:space="preserve">que monitoreamos el cumplimiento de las recomendaciones del Comité de la CEDAW al Estado Plurinacional de Bolivia, </w:t>
      </w:r>
      <w:r w:rsidR="00F53C23" w:rsidRPr="00CB76D8">
        <w:rPr>
          <w:rFonts w:asciiTheme="minorHAnsi" w:hAnsiTheme="minorHAnsi" w:cstheme="minorHAnsi"/>
          <w:b w:val="0"/>
          <w:sz w:val="24"/>
          <w:szCs w:val="24"/>
        </w:rPr>
        <w:t xml:space="preserve">conformada por instituciones que trabajan en la promoción </w:t>
      </w:r>
      <w:r w:rsidR="00F53C23" w:rsidRPr="00876B19">
        <w:rPr>
          <w:rFonts w:asciiTheme="minorHAnsi" w:hAnsiTheme="minorHAnsi" w:cstheme="minorHAnsi"/>
          <w:b w:val="0"/>
          <w:sz w:val="24"/>
          <w:szCs w:val="24"/>
        </w:rPr>
        <w:t xml:space="preserve">y defensa de los derechos de las mujeres y las </w:t>
      </w:r>
      <w:r w:rsidR="00971CFD" w:rsidRPr="00876B19">
        <w:rPr>
          <w:rFonts w:asciiTheme="minorHAnsi" w:hAnsiTheme="minorHAnsi" w:cstheme="minorHAnsi"/>
          <w:b w:val="0"/>
          <w:sz w:val="24"/>
          <w:szCs w:val="24"/>
        </w:rPr>
        <w:t>niñas, realiza la presente contribución para</w:t>
      </w:r>
      <w:r w:rsidR="00F53C23" w:rsidRPr="00876B19">
        <w:rPr>
          <w:rFonts w:asciiTheme="minorHAnsi" w:hAnsiTheme="minorHAnsi" w:cstheme="minorHAnsi"/>
          <w:b w:val="0"/>
          <w:bCs/>
          <w:sz w:val="24"/>
          <w:szCs w:val="24"/>
          <w:lang w:val="es-CO"/>
        </w:rPr>
        <w:t xml:space="preserve"> </w:t>
      </w:r>
      <w:r w:rsidR="00876B19" w:rsidRPr="00876B19">
        <w:rPr>
          <w:rFonts w:asciiTheme="minorHAnsi" w:hAnsiTheme="minorHAnsi"/>
          <w:b w:val="0"/>
          <w:color w:val="212529"/>
          <w:sz w:val="24"/>
          <w:szCs w:val="24"/>
          <w:shd w:val="clear" w:color="auto" w:fill="FFFFFF"/>
        </w:rPr>
        <w:t xml:space="preserve">el 78° Grupo de trabajo </w:t>
      </w:r>
      <w:r w:rsidR="00876B19" w:rsidRPr="00876B19">
        <w:rPr>
          <w:rFonts w:asciiTheme="minorHAnsi" w:hAnsiTheme="minorHAnsi"/>
          <w:b w:val="0"/>
          <w:sz w:val="24"/>
          <w:szCs w:val="24"/>
          <w:shd w:val="clear" w:color="auto" w:fill="FFFFFF"/>
        </w:rPr>
        <w:t>previo al período de sesiones en relación a Bolivia.</w:t>
      </w:r>
    </w:p>
    <w:p w14:paraId="082B1EC5" w14:textId="77777777" w:rsidR="00F53C23" w:rsidRPr="00CB76D8" w:rsidRDefault="00F53C23" w:rsidP="00F53C23">
      <w:pPr>
        <w:pStyle w:val="SingleTxt"/>
        <w:rPr>
          <w:rFonts w:asciiTheme="minorHAnsi" w:hAnsiTheme="minorHAnsi"/>
          <w:sz w:val="24"/>
          <w:szCs w:val="24"/>
          <w:lang w:val="es-CO"/>
        </w:rPr>
      </w:pPr>
    </w:p>
    <w:p w14:paraId="4472D8EA" w14:textId="77777777" w:rsidR="0058745D" w:rsidRPr="00CB76D8" w:rsidRDefault="00651C58" w:rsidP="00D06A1A">
      <w:pPr>
        <w:jc w:val="both"/>
        <w:rPr>
          <w:b/>
          <w:sz w:val="24"/>
          <w:szCs w:val="24"/>
        </w:rPr>
      </w:pPr>
      <w:r w:rsidRPr="00CB76D8">
        <w:rPr>
          <w:b/>
          <w:sz w:val="24"/>
          <w:szCs w:val="24"/>
        </w:rPr>
        <w:t>MARCO CONSTITUCIONAL Y LEGISLATIVO</w:t>
      </w:r>
      <w:r w:rsidR="0064158C" w:rsidRPr="00CB76D8">
        <w:rPr>
          <w:b/>
          <w:sz w:val="24"/>
          <w:szCs w:val="24"/>
        </w:rPr>
        <w:t xml:space="preserve"> </w:t>
      </w:r>
    </w:p>
    <w:p w14:paraId="04F8743C" w14:textId="77777777" w:rsidR="00075BD7" w:rsidRPr="00CB76D8" w:rsidRDefault="00075BD7" w:rsidP="00EB0011">
      <w:pPr>
        <w:pStyle w:val="Prrafodelista"/>
        <w:numPr>
          <w:ilvl w:val="0"/>
          <w:numId w:val="9"/>
        </w:numPr>
        <w:ind w:left="426"/>
        <w:jc w:val="both"/>
        <w:rPr>
          <w:sz w:val="24"/>
          <w:szCs w:val="24"/>
        </w:rPr>
      </w:pPr>
      <w:r w:rsidRPr="00CB76D8">
        <w:rPr>
          <w:sz w:val="24"/>
          <w:szCs w:val="24"/>
        </w:rPr>
        <w:t>Bolivia cuenta con un amplio marco normativo</w:t>
      </w:r>
      <w:r w:rsidR="00163A67" w:rsidRPr="00CB76D8">
        <w:rPr>
          <w:sz w:val="24"/>
          <w:szCs w:val="24"/>
        </w:rPr>
        <w:t xml:space="preserve"> que reconoce los derechos de las mujeres y establece un conjunto de medidas</w:t>
      </w:r>
      <w:r w:rsidR="000821EB" w:rsidRPr="00CB76D8">
        <w:rPr>
          <w:sz w:val="24"/>
          <w:szCs w:val="24"/>
        </w:rPr>
        <w:t xml:space="preserve"> y políticas </w:t>
      </w:r>
      <w:r w:rsidR="00163A67" w:rsidRPr="00CB76D8">
        <w:rPr>
          <w:sz w:val="24"/>
          <w:szCs w:val="24"/>
        </w:rPr>
        <w:t xml:space="preserve">que deben ser implementadas por el </w:t>
      </w:r>
      <w:r w:rsidR="006552BF" w:rsidRPr="00CB76D8">
        <w:rPr>
          <w:sz w:val="24"/>
          <w:szCs w:val="24"/>
        </w:rPr>
        <w:t>Estado Parte</w:t>
      </w:r>
      <w:r w:rsidR="00163A67" w:rsidRPr="00CB76D8">
        <w:rPr>
          <w:sz w:val="24"/>
          <w:szCs w:val="24"/>
        </w:rPr>
        <w:t xml:space="preserve"> en todos sus niveles</w:t>
      </w:r>
      <w:r w:rsidRPr="00CB76D8">
        <w:rPr>
          <w:sz w:val="24"/>
          <w:szCs w:val="24"/>
        </w:rPr>
        <w:t>.</w:t>
      </w:r>
    </w:p>
    <w:p w14:paraId="4A8FD280" w14:textId="77777777" w:rsidR="00075BD7" w:rsidRPr="00CB76D8" w:rsidRDefault="00075BD7" w:rsidP="00EB0011">
      <w:pPr>
        <w:pStyle w:val="Prrafodelista"/>
        <w:numPr>
          <w:ilvl w:val="0"/>
          <w:numId w:val="9"/>
        </w:numPr>
        <w:ind w:left="426"/>
        <w:jc w:val="both"/>
        <w:rPr>
          <w:sz w:val="24"/>
          <w:szCs w:val="24"/>
        </w:rPr>
      </w:pPr>
      <w:r w:rsidRPr="00CB76D8">
        <w:rPr>
          <w:sz w:val="24"/>
          <w:szCs w:val="24"/>
        </w:rPr>
        <w:t xml:space="preserve">De acuerdo </w:t>
      </w:r>
      <w:r w:rsidR="00A566DF" w:rsidRPr="00CB76D8">
        <w:rPr>
          <w:sz w:val="24"/>
          <w:szCs w:val="24"/>
        </w:rPr>
        <w:t xml:space="preserve">a </w:t>
      </w:r>
      <w:r w:rsidRPr="00CB76D8">
        <w:rPr>
          <w:sz w:val="24"/>
          <w:szCs w:val="24"/>
        </w:rPr>
        <w:t>la legislación nacional todas las instancias públicas deben realizar rendiciones de cuentas públicas, sin embargo</w:t>
      </w:r>
      <w:r w:rsidR="0064158C" w:rsidRPr="00CB76D8">
        <w:rPr>
          <w:sz w:val="24"/>
          <w:szCs w:val="24"/>
        </w:rPr>
        <w:t>,</w:t>
      </w:r>
      <w:r w:rsidRPr="00CB76D8">
        <w:rPr>
          <w:sz w:val="24"/>
          <w:szCs w:val="24"/>
        </w:rPr>
        <w:t xml:space="preserve"> no se cuenta con información específica y desglosada</w:t>
      </w:r>
      <w:r w:rsidR="00163A67" w:rsidRPr="00CB76D8">
        <w:rPr>
          <w:sz w:val="24"/>
          <w:szCs w:val="24"/>
        </w:rPr>
        <w:t xml:space="preserve"> sobre la implementación, inversión y resultados específicos de políticas públicas relativas a los derechos de las mujeres.</w:t>
      </w:r>
    </w:p>
    <w:p w14:paraId="0A8B54E4" w14:textId="216AD7CA" w:rsidR="00075BD7" w:rsidRPr="00CB76D8" w:rsidRDefault="00075BD7" w:rsidP="00EB0011">
      <w:pPr>
        <w:pStyle w:val="Prrafodelista"/>
        <w:numPr>
          <w:ilvl w:val="0"/>
          <w:numId w:val="9"/>
        </w:numPr>
        <w:ind w:left="426"/>
        <w:jc w:val="both"/>
        <w:rPr>
          <w:rFonts w:cs="Calibri"/>
          <w:color w:val="000000"/>
          <w:sz w:val="24"/>
          <w:szCs w:val="24"/>
        </w:rPr>
      </w:pPr>
      <w:r w:rsidRPr="00CB76D8">
        <w:rPr>
          <w:rFonts w:cs="Calibri"/>
          <w:color w:val="000000"/>
          <w:sz w:val="24"/>
          <w:szCs w:val="24"/>
        </w:rPr>
        <w:t>Respecto a la inv</w:t>
      </w:r>
      <w:r w:rsidR="0064158C" w:rsidRPr="00CB76D8">
        <w:rPr>
          <w:rFonts w:cs="Calibri"/>
          <w:color w:val="000000"/>
          <w:sz w:val="24"/>
          <w:szCs w:val="24"/>
        </w:rPr>
        <w:t xml:space="preserve">ersión en violencia de género, </w:t>
      </w:r>
      <w:r w:rsidRPr="00CB76D8">
        <w:rPr>
          <w:rFonts w:cs="Calibri"/>
          <w:color w:val="000000"/>
          <w:sz w:val="24"/>
          <w:szCs w:val="24"/>
        </w:rPr>
        <w:t xml:space="preserve">a nivel sub nacional se tiene que las gobernaciones programaron para la gestión 2016 Bs. 33.686.096; y ejecutaron Bs. 10.301.422,45, es decir el 30,58%. Los gobiernos municipales ejecutaron el 61,28% del presupuesto programado. No se cuenta con información oficial sobre la inversión del Gobierno </w:t>
      </w:r>
      <w:r w:rsidRPr="00CB76D8">
        <w:rPr>
          <w:rFonts w:cs="Calibri"/>
          <w:color w:val="000000"/>
          <w:sz w:val="24"/>
          <w:szCs w:val="24"/>
          <w:shd w:val="clear" w:color="auto" w:fill="FFFFFF" w:themeFill="background1"/>
        </w:rPr>
        <w:t>central.</w:t>
      </w:r>
      <w:r w:rsidR="00AB245A" w:rsidRPr="00CB76D8">
        <w:rPr>
          <w:rFonts w:cs="Calibri"/>
          <w:color w:val="000000"/>
          <w:sz w:val="24"/>
          <w:szCs w:val="24"/>
          <w:shd w:val="clear" w:color="auto" w:fill="FFFFFF" w:themeFill="background1"/>
        </w:rPr>
        <w:t xml:space="preserve"> (</w:t>
      </w:r>
      <w:r w:rsidR="00971CFD" w:rsidRPr="00CB76D8">
        <w:rPr>
          <w:rFonts w:cs="Calibri"/>
          <w:color w:val="000000"/>
          <w:sz w:val="24"/>
          <w:szCs w:val="24"/>
          <w:shd w:val="clear" w:color="auto" w:fill="FFFFFF" w:themeFill="background1"/>
        </w:rPr>
        <w:t xml:space="preserve">CPMGA, </w:t>
      </w:r>
      <w:r w:rsidR="005C538F" w:rsidRPr="00CB76D8">
        <w:rPr>
          <w:rFonts w:cs="Calibri"/>
          <w:color w:val="000000"/>
          <w:sz w:val="24"/>
          <w:szCs w:val="24"/>
          <w:shd w:val="clear" w:color="auto" w:fill="FFFFFF" w:themeFill="background1"/>
        </w:rPr>
        <w:t>2016</w:t>
      </w:r>
      <w:r w:rsidR="00AB245A" w:rsidRPr="00CB76D8">
        <w:rPr>
          <w:rFonts w:cs="Calibri"/>
          <w:color w:val="000000"/>
          <w:sz w:val="24"/>
          <w:szCs w:val="24"/>
          <w:shd w:val="clear" w:color="auto" w:fill="FFFFFF" w:themeFill="background1"/>
        </w:rPr>
        <w:t>).</w:t>
      </w:r>
      <w:r w:rsidR="005C538F" w:rsidRPr="00CB76D8">
        <w:rPr>
          <w:rFonts w:cs="Calibri"/>
          <w:color w:val="000000"/>
          <w:sz w:val="24"/>
          <w:szCs w:val="24"/>
        </w:rPr>
        <w:t xml:space="preserve"> </w:t>
      </w:r>
    </w:p>
    <w:p w14:paraId="1E4460E2" w14:textId="6A707483" w:rsidR="00371979" w:rsidRPr="00CB76D8" w:rsidRDefault="00371979" w:rsidP="00EB0011">
      <w:pPr>
        <w:pStyle w:val="Prrafodelista"/>
        <w:numPr>
          <w:ilvl w:val="0"/>
          <w:numId w:val="9"/>
        </w:numPr>
        <w:ind w:left="426"/>
        <w:jc w:val="both"/>
        <w:rPr>
          <w:rFonts w:cs="Calibri"/>
          <w:color w:val="000000"/>
          <w:sz w:val="24"/>
          <w:szCs w:val="24"/>
        </w:rPr>
      </w:pPr>
      <w:r w:rsidRPr="00CB76D8">
        <w:rPr>
          <w:sz w:val="24"/>
          <w:szCs w:val="24"/>
        </w:rPr>
        <w:t>La Ley No. 348, Ley Integral para Garantizar a las Mujeres una Vida Libre de Violencia</w:t>
      </w:r>
      <w:r w:rsidR="00712F89" w:rsidRPr="00CB76D8">
        <w:rPr>
          <w:sz w:val="24"/>
          <w:szCs w:val="24"/>
        </w:rPr>
        <w:t>,</w:t>
      </w:r>
      <w:r w:rsidRPr="00CB76D8">
        <w:rPr>
          <w:sz w:val="24"/>
          <w:szCs w:val="24"/>
        </w:rPr>
        <w:t xml:space="preserve"> establece que el Ministerio de Justicia rendirá un informe anual ante la Asamblea Legislativa Plurinacio</w:t>
      </w:r>
      <w:r w:rsidR="00712F89" w:rsidRPr="00CB76D8">
        <w:rPr>
          <w:sz w:val="24"/>
          <w:szCs w:val="24"/>
        </w:rPr>
        <w:t>nal</w:t>
      </w:r>
      <w:r w:rsidRPr="00CB76D8">
        <w:rPr>
          <w:sz w:val="24"/>
          <w:szCs w:val="24"/>
        </w:rPr>
        <w:t xml:space="preserve"> sobre el avance y cumplimiento de Ley, lo cual no se cumple.</w:t>
      </w:r>
    </w:p>
    <w:p w14:paraId="698BCD1C" w14:textId="76CC61F6" w:rsidR="009D0331" w:rsidRPr="00CB76D8" w:rsidRDefault="00255598" w:rsidP="00EB0011">
      <w:pPr>
        <w:pStyle w:val="Prrafodelista"/>
        <w:numPr>
          <w:ilvl w:val="0"/>
          <w:numId w:val="9"/>
        </w:numPr>
        <w:ind w:left="426"/>
        <w:jc w:val="both"/>
        <w:rPr>
          <w:rFonts w:cs="Calibri"/>
          <w:color w:val="000000"/>
          <w:sz w:val="24"/>
          <w:szCs w:val="24"/>
        </w:rPr>
      </w:pPr>
      <w:r w:rsidRPr="00CB76D8">
        <w:rPr>
          <w:rFonts w:cs="Calibri"/>
          <w:color w:val="000000"/>
          <w:sz w:val="24"/>
          <w:szCs w:val="24"/>
        </w:rPr>
        <w:t>La</w:t>
      </w:r>
      <w:r w:rsidR="009D0331" w:rsidRPr="00CB76D8">
        <w:rPr>
          <w:rFonts w:cs="Calibri"/>
          <w:color w:val="000000"/>
          <w:sz w:val="24"/>
          <w:szCs w:val="24"/>
        </w:rPr>
        <w:t xml:space="preserve"> Ley </w:t>
      </w:r>
      <w:r w:rsidR="009537DE" w:rsidRPr="00CB76D8">
        <w:rPr>
          <w:rFonts w:cs="Calibri"/>
          <w:color w:val="000000"/>
          <w:sz w:val="24"/>
          <w:szCs w:val="24"/>
        </w:rPr>
        <w:t xml:space="preserve">No. </w:t>
      </w:r>
      <w:r w:rsidR="009D0331" w:rsidRPr="00CB76D8">
        <w:rPr>
          <w:rFonts w:cs="Calibri"/>
          <w:color w:val="000000"/>
          <w:sz w:val="24"/>
          <w:szCs w:val="24"/>
        </w:rPr>
        <w:t>243, Ley contra el Acoso y la violencia Política contra las mujeres</w:t>
      </w:r>
      <w:r w:rsidR="00712F89" w:rsidRPr="00CB76D8">
        <w:rPr>
          <w:rFonts w:cs="Calibri"/>
          <w:color w:val="000000"/>
          <w:sz w:val="24"/>
          <w:szCs w:val="24"/>
        </w:rPr>
        <w:t>,</w:t>
      </w:r>
      <w:r w:rsidR="009D0331" w:rsidRPr="00CB76D8">
        <w:rPr>
          <w:rFonts w:cs="Calibri"/>
          <w:color w:val="000000"/>
          <w:sz w:val="24"/>
          <w:szCs w:val="24"/>
        </w:rPr>
        <w:t xml:space="preserve"> establece que las organizaciones sociales, políticas e instituciones públicas deben realizar adecuaciones a sus reglamentos internos para incluir </w:t>
      </w:r>
      <w:r w:rsidRPr="00CB76D8">
        <w:rPr>
          <w:rFonts w:cs="Calibri"/>
          <w:color w:val="000000"/>
          <w:sz w:val="24"/>
          <w:szCs w:val="24"/>
        </w:rPr>
        <w:t xml:space="preserve">medidas de prevención y </w:t>
      </w:r>
      <w:r w:rsidR="009D0331" w:rsidRPr="00CB76D8">
        <w:rPr>
          <w:rFonts w:cs="Calibri"/>
          <w:color w:val="000000"/>
          <w:sz w:val="24"/>
          <w:szCs w:val="24"/>
        </w:rPr>
        <w:t>sanci</w:t>
      </w:r>
      <w:r w:rsidRPr="00CB76D8">
        <w:rPr>
          <w:rFonts w:cs="Calibri"/>
          <w:color w:val="000000"/>
          <w:sz w:val="24"/>
          <w:szCs w:val="24"/>
        </w:rPr>
        <w:t xml:space="preserve">ón </w:t>
      </w:r>
      <w:r w:rsidRPr="00CB76D8">
        <w:rPr>
          <w:rFonts w:cs="Calibri"/>
          <w:color w:val="000000"/>
          <w:sz w:val="24"/>
          <w:szCs w:val="24"/>
        </w:rPr>
        <w:lastRenderedPageBreak/>
        <w:t>del acoso y la violencia política, sin embargo</w:t>
      </w:r>
      <w:r w:rsidR="00766E1B" w:rsidRPr="00CB76D8">
        <w:rPr>
          <w:rFonts w:cs="Calibri"/>
          <w:color w:val="000000"/>
          <w:sz w:val="24"/>
          <w:szCs w:val="24"/>
        </w:rPr>
        <w:t>,</w:t>
      </w:r>
      <w:r w:rsidRPr="00CB76D8">
        <w:rPr>
          <w:rFonts w:cs="Calibri"/>
          <w:color w:val="000000"/>
          <w:sz w:val="24"/>
          <w:szCs w:val="24"/>
        </w:rPr>
        <w:t xml:space="preserve"> en 7 años de vigencia de la norma, esta previsi</w:t>
      </w:r>
      <w:r w:rsidR="00185E05" w:rsidRPr="00CB76D8">
        <w:rPr>
          <w:rFonts w:cs="Calibri"/>
          <w:color w:val="000000"/>
          <w:sz w:val="24"/>
          <w:szCs w:val="24"/>
        </w:rPr>
        <w:t>ó</w:t>
      </w:r>
      <w:r w:rsidRPr="00CB76D8">
        <w:rPr>
          <w:rFonts w:cs="Calibri"/>
          <w:color w:val="000000"/>
          <w:sz w:val="24"/>
          <w:szCs w:val="24"/>
        </w:rPr>
        <w:t>n no se cumple</w:t>
      </w:r>
      <w:r w:rsidR="00D34B1A" w:rsidRPr="00CB76D8">
        <w:rPr>
          <w:rStyle w:val="Refdenotaalpie"/>
          <w:rFonts w:cs="Calibri"/>
          <w:color w:val="000000"/>
          <w:sz w:val="24"/>
          <w:szCs w:val="24"/>
        </w:rPr>
        <w:footnoteReference w:id="1"/>
      </w:r>
      <w:r w:rsidRPr="00CB76D8">
        <w:rPr>
          <w:rFonts w:cs="Calibri"/>
          <w:color w:val="000000"/>
          <w:sz w:val="24"/>
          <w:szCs w:val="24"/>
        </w:rPr>
        <w:t>.</w:t>
      </w:r>
    </w:p>
    <w:p w14:paraId="40457E77" w14:textId="1FD9B5E0" w:rsidR="00651C58" w:rsidRPr="00CB76D8" w:rsidRDefault="00651C58" w:rsidP="00D06A1A">
      <w:pPr>
        <w:jc w:val="both"/>
        <w:rPr>
          <w:b/>
          <w:i/>
          <w:sz w:val="24"/>
          <w:szCs w:val="24"/>
        </w:rPr>
      </w:pPr>
      <w:r w:rsidRPr="00CB76D8">
        <w:rPr>
          <w:rFonts w:cs="Calibri"/>
          <w:b/>
          <w:i/>
          <w:color w:val="000000"/>
          <w:sz w:val="24"/>
          <w:szCs w:val="24"/>
        </w:rPr>
        <w:t>Sugerencia</w:t>
      </w:r>
      <w:r w:rsidR="004944C4" w:rsidRPr="00CB76D8">
        <w:rPr>
          <w:rFonts w:cs="Calibri"/>
          <w:b/>
          <w:i/>
          <w:color w:val="000000"/>
          <w:sz w:val="24"/>
          <w:szCs w:val="24"/>
        </w:rPr>
        <w:t>s</w:t>
      </w:r>
      <w:r w:rsidRPr="00CB76D8">
        <w:rPr>
          <w:rFonts w:cs="Calibri"/>
          <w:b/>
          <w:i/>
          <w:color w:val="000000"/>
          <w:sz w:val="24"/>
          <w:szCs w:val="24"/>
        </w:rPr>
        <w:t xml:space="preserve"> de cuestiones:</w:t>
      </w:r>
    </w:p>
    <w:p w14:paraId="45117632" w14:textId="1215CA0A" w:rsidR="00651C58" w:rsidRPr="00CB76D8" w:rsidRDefault="00075BD7" w:rsidP="00EB0011">
      <w:pPr>
        <w:pStyle w:val="Prrafodelista"/>
        <w:numPr>
          <w:ilvl w:val="0"/>
          <w:numId w:val="1"/>
        </w:numPr>
        <w:jc w:val="both"/>
        <w:rPr>
          <w:sz w:val="24"/>
          <w:szCs w:val="24"/>
        </w:rPr>
      </w:pPr>
      <w:r w:rsidRPr="00CB76D8">
        <w:rPr>
          <w:sz w:val="24"/>
          <w:szCs w:val="24"/>
        </w:rPr>
        <w:t xml:space="preserve">¿Se han </w:t>
      </w:r>
      <w:r w:rsidR="004944C4" w:rsidRPr="00CB76D8">
        <w:rPr>
          <w:sz w:val="24"/>
          <w:szCs w:val="24"/>
        </w:rPr>
        <w:t>a</w:t>
      </w:r>
      <w:r w:rsidRPr="00CB76D8">
        <w:rPr>
          <w:sz w:val="24"/>
          <w:szCs w:val="24"/>
        </w:rPr>
        <w:t xml:space="preserve">signado y ejecutado recursos </w:t>
      </w:r>
      <w:r w:rsidR="00353EBB" w:rsidRPr="00CB76D8">
        <w:rPr>
          <w:sz w:val="24"/>
          <w:szCs w:val="24"/>
        </w:rPr>
        <w:t xml:space="preserve">económicos </w:t>
      </w:r>
      <w:r w:rsidR="00430C6E" w:rsidRPr="00CB76D8">
        <w:rPr>
          <w:sz w:val="24"/>
          <w:szCs w:val="24"/>
        </w:rPr>
        <w:t>en l</w:t>
      </w:r>
      <w:r w:rsidR="003C40A1" w:rsidRPr="00CB76D8">
        <w:rPr>
          <w:sz w:val="24"/>
          <w:szCs w:val="24"/>
        </w:rPr>
        <w:t xml:space="preserve">os distintos niveles del </w:t>
      </w:r>
      <w:r w:rsidR="006552BF" w:rsidRPr="00CB76D8">
        <w:rPr>
          <w:sz w:val="24"/>
          <w:szCs w:val="24"/>
        </w:rPr>
        <w:t>Estado Parte</w:t>
      </w:r>
      <w:r w:rsidR="003C40A1" w:rsidRPr="00CB76D8">
        <w:rPr>
          <w:sz w:val="24"/>
          <w:szCs w:val="24"/>
        </w:rPr>
        <w:t xml:space="preserve"> (nacional y subnacional)</w:t>
      </w:r>
      <w:r w:rsidR="00651C58" w:rsidRPr="00CB76D8">
        <w:rPr>
          <w:sz w:val="24"/>
          <w:szCs w:val="24"/>
        </w:rPr>
        <w:t xml:space="preserve"> en el periodo 2015 </w:t>
      </w:r>
      <w:r w:rsidR="00353EBB" w:rsidRPr="00CB76D8">
        <w:rPr>
          <w:sz w:val="24"/>
          <w:szCs w:val="24"/>
        </w:rPr>
        <w:t>–</w:t>
      </w:r>
      <w:r w:rsidR="00651C58" w:rsidRPr="00CB76D8">
        <w:rPr>
          <w:sz w:val="24"/>
          <w:szCs w:val="24"/>
        </w:rPr>
        <w:t xml:space="preserve"> 2019</w:t>
      </w:r>
      <w:r w:rsidR="00353EBB" w:rsidRPr="00CB76D8">
        <w:rPr>
          <w:sz w:val="24"/>
          <w:szCs w:val="24"/>
        </w:rPr>
        <w:t xml:space="preserve"> para</w:t>
      </w:r>
      <w:r w:rsidRPr="00CB76D8">
        <w:rPr>
          <w:sz w:val="24"/>
          <w:szCs w:val="24"/>
        </w:rPr>
        <w:t xml:space="preserve"> </w:t>
      </w:r>
      <w:r w:rsidR="003C40A1" w:rsidRPr="00CB76D8">
        <w:rPr>
          <w:sz w:val="24"/>
          <w:szCs w:val="24"/>
        </w:rPr>
        <w:t>la</w:t>
      </w:r>
      <w:r w:rsidR="00B17D4A" w:rsidRPr="00CB76D8">
        <w:rPr>
          <w:sz w:val="24"/>
          <w:szCs w:val="24"/>
        </w:rPr>
        <w:t xml:space="preserve"> aplicació</w:t>
      </w:r>
      <w:r w:rsidR="00430C6E" w:rsidRPr="00CB76D8">
        <w:rPr>
          <w:sz w:val="24"/>
          <w:szCs w:val="24"/>
        </w:rPr>
        <w:t>n</w:t>
      </w:r>
      <w:r w:rsidR="003C40A1" w:rsidRPr="00CB76D8">
        <w:rPr>
          <w:sz w:val="24"/>
          <w:szCs w:val="24"/>
        </w:rPr>
        <w:t xml:space="preserve"> de la legislación</w:t>
      </w:r>
      <w:r w:rsidR="00430C6E" w:rsidRPr="00CB76D8">
        <w:rPr>
          <w:sz w:val="24"/>
          <w:szCs w:val="24"/>
        </w:rPr>
        <w:t xml:space="preserve"> de acuerdo </w:t>
      </w:r>
      <w:r w:rsidR="00B17D4A" w:rsidRPr="00CB76D8">
        <w:rPr>
          <w:sz w:val="24"/>
          <w:szCs w:val="24"/>
        </w:rPr>
        <w:t>con las principales problemáticas de las mujeres: violencias, desigualdad económica</w:t>
      </w:r>
      <w:r w:rsidR="00BC7297" w:rsidRPr="00CB76D8">
        <w:rPr>
          <w:sz w:val="24"/>
          <w:szCs w:val="24"/>
        </w:rPr>
        <w:t xml:space="preserve">, </w:t>
      </w:r>
      <w:r w:rsidRPr="00CB76D8">
        <w:rPr>
          <w:sz w:val="24"/>
          <w:szCs w:val="24"/>
        </w:rPr>
        <w:t xml:space="preserve">salud sexual y </w:t>
      </w:r>
      <w:r w:rsidR="00BC7297" w:rsidRPr="00CB76D8">
        <w:rPr>
          <w:sz w:val="24"/>
          <w:szCs w:val="24"/>
        </w:rPr>
        <w:t xml:space="preserve">salud </w:t>
      </w:r>
      <w:r w:rsidRPr="00CB76D8">
        <w:rPr>
          <w:sz w:val="24"/>
          <w:szCs w:val="24"/>
        </w:rPr>
        <w:t>reproductiva?</w:t>
      </w:r>
      <w:r w:rsidR="00763E14" w:rsidRPr="00CB76D8">
        <w:rPr>
          <w:sz w:val="24"/>
          <w:szCs w:val="24"/>
        </w:rPr>
        <w:t>.</w:t>
      </w:r>
    </w:p>
    <w:p w14:paraId="49F02345" w14:textId="68F4AAE9" w:rsidR="00E14DDF" w:rsidRPr="00CB76D8" w:rsidRDefault="00651C58" w:rsidP="00EB0011">
      <w:pPr>
        <w:pStyle w:val="Prrafodelista"/>
        <w:numPr>
          <w:ilvl w:val="0"/>
          <w:numId w:val="1"/>
        </w:numPr>
        <w:jc w:val="both"/>
        <w:rPr>
          <w:sz w:val="24"/>
          <w:szCs w:val="24"/>
        </w:rPr>
      </w:pPr>
      <w:r w:rsidRPr="00CB76D8">
        <w:rPr>
          <w:sz w:val="24"/>
          <w:szCs w:val="24"/>
        </w:rPr>
        <w:t>¿Cuál fue el presupuesto invertido en la implementación del Plan Multisectorial para el Avance en la Despatriarcalización y el Derecho de las Mujeres a Vivir Bien 2016-2020</w:t>
      </w:r>
      <w:r w:rsidR="00786F96" w:rsidRPr="00CB76D8">
        <w:rPr>
          <w:rFonts w:cs="Calibri"/>
          <w:color w:val="000000"/>
          <w:sz w:val="24"/>
          <w:szCs w:val="24"/>
        </w:rPr>
        <w:t xml:space="preserve"> </w:t>
      </w:r>
      <w:r w:rsidRPr="00CB76D8">
        <w:rPr>
          <w:rFonts w:cs="Calibri"/>
          <w:color w:val="000000"/>
          <w:sz w:val="24"/>
          <w:szCs w:val="24"/>
        </w:rPr>
        <w:t xml:space="preserve">mencionado en </w:t>
      </w:r>
      <w:r w:rsidR="00CA10E2" w:rsidRPr="00CB76D8">
        <w:rPr>
          <w:rFonts w:cs="Calibri"/>
          <w:color w:val="000000"/>
          <w:sz w:val="24"/>
          <w:szCs w:val="24"/>
        </w:rPr>
        <w:t xml:space="preserve">el párrafo 11 de </w:t>
      </w:r>
      <w:r w:rsidRPr="00CB76D8">
        <w:rPr>
          <w:rFonts w:cs="Calibri"/>
          <w:color w:val="000000"/>
          <w:sz w:val="24"/>
          <w:szCs w:val="24"/>
        </w:rPr>
        <w:t>su informe</w:t>
      </w:r>
      <w:r w:rsidR="00CA10E2" w:rsidRPr="00CB76D8">
        <w:rPr>
          <w:rFonts w:cs="Calibri"/>
          <w:color w:val="000000"/>
          <w:sz w:val="24"/>
          <w:szCs w:val="24"/>
        </w:rPr>
        <w:t>,</w:t>
      </w:r>
      <w:r w:rsidRPr="00CB76D8">
        <w:rPr>
          <w:rFonts w:cs="Calibri"/>
          <w:color w:val="000000"/>
          <w:sz w:val="24"/>
          <w:szCs w:val="24"/>
        </w:rPr>
        <w:t xml:space="preserve"> y cuáles fueron los principales </w:t>
      </w:r>
      <w:r w:rsidR="0064158C" w:rsidRPr="00CB76D8">
        <w:rPr>
          <w:rFonts w:cs="Calibri"/>
          <w:color w:val="000000"/>
          <w:sz w:val="24"/>
          <w:szCs w:val="24"/>
        </w:rPr>
        <w:t>resultados?</w:t>
      </w:r>
      <w:r w:rsidR="00763E14" w:rsidRPr="00CB76D8">
        <w:rPr>
          <w:rFonts w:cs="Calibri"/>
          <w:color w:val="000000"/>
          <w:sz w:val="24"/>
          <w:szCs w:val="24"/>
        </w:rPr>
        <w:t>.</w:t>
      </w:r>
    </w:p>
    <w:p w14:paraId="1C85F65E" w14:textId="0D4D9F37" w:rsidR="00FF1821" w:rsidRPr="00CB76D8" w:rsidRDefault="00FF1821" w:rsidP="00EB0011">
      <w:pPr>
        <w:pStyle w:val="Prrafodelista"/>
        <w:numPr>
          <w:ilvl w:val="0"/>
          <w:numId w:val="1"/>
        </w:numPr>
        <w:jc w:val="both"/>
        <w:rPr>
          <w:sz w:val="24"/>
          <w:szCs w:val="24"/>
        </w:rPr>
      </w:pPr>
      <w:r w:rsidRPr="00CB76D8">
        <w:rPr>
          <w:rFonts w:cs="Calibri"/>
          <w:color w:val="000000"/>
          <w:sz w:val="24"/>
          <w:szCs w:val="24"/>
        </w:rPr>
        <w:t>¿Puede informar sobre el avance de los Planes Nacionales y subnacionales</w:t>
      </w:r>
      <w:r w:rsidR="00B31F93" w:rsidRPr="00CB76D8">
        <w:rPr>
          <w:rFonts w:cs="Calibri"/>
          <w:color w:val="000000"/>
          <w:sz w:val="24"/>
          <w:szCs w:val="24"/>
        </w:rPr>
        <w:t>, incluidas las políticas públicas, puesta</w:t>
      </w:r>
      <w:r w:rsidRPr="00CB76D8">
        <w:rPr>
          <w:rFonts w:cs="Calibri"/>
          <w:color w:val="000000"/>
          <w:sz w:val="24"/>
          <w:szCs w:val="24"/>
        </w:rPr>
        <w:t>s en marcha para favorecer el ejercicio de los derechos de las mujeres, tanto en el nivel nacional como en los niveles subnacionales?, respecto a los planes concluidos hasta el 2019, ¿cuál es la evaluación respecto a su cumplimiento y alcances?</w:t>
      </w:r>
      <w:r w:rsidR="00763E14" w:rsidRPr="00CB76D8">
        <w:rPr>
          <w:rFonts w:cs="Calibri"/>
          <w:color w:val="000000"/>
          <w:sz w:val="24"/>
          <w:szCs w:val="24"/>
        </w:rPr>
        <w:t>.</w:t>
      </w:r>
    </w:p>
    <w:p w14:paraId="485BBEEE" w14:textId="75E1AA0A" w:rsidR="00075BD7" w:rsidRPr="00CB76D8" w:rsidRDefault="00075BD7" w:rsidP="00EB0011">
      <w:pPr>
        <w:pStyle w:val="Prrafodelista"/>
        <w:numPr>
          <w:ilvl w:val="0"/>
          <w:numId w:val="1"/>
        </w:numPr>
        <w:jc w:val="both"/>
        <w:rPr>
          <w:sz w:val="24"/>
          <w:szCs w:val="24"/>
        </w:rPr>
      </w:pPr>
      <w:r w:rsidRPr="00CB76D8">
        <w:rPr>
          <w:sz w:val="24"/>
          <w:szCs w:val="24"/>
        </w:rPr>
        <w:t xml:space="preserve">¿El Ministerio de Justicia </w:t>
      </w:r>
      <w:r w:rsidR="00437ED3" w:rsidRPr="00CB76D8">
        <w:rPr>
          <w:sz w:val="24"/>
          <w:szCs w:val="24"/>
        </w:rPr>
        <w:t xml:space="preserve">y Transparencia Institucional </w:t>
      </w:r>
      <w:r w:rsidRPr="00CB76D8">
        <w:rPr>
          <w:sz w:val="24"/>
          <w:szCs w:val="24"/>
        </w:rPr>
        <w:t>rinde un informe anual ante la Asamblea Legislativa Plurinacional, sobre el avance y cumplimiento de Ley No. 348, Ley Integral para garantizar a las Mujere</w:t>
      </w:r>
      <w:r w:rsidR="00353EBB" w:rsidRPr="00CB76D8">
        <w:rPr>
          <w:sz w:val="24"/>
          <w:szCs w:val="24"/>
        </w:rPr>
        <w:t>s una Vida Libre de Violencia co</w:t>
      </w:r>
      <w:r w:rsidRPr="00CB76D8">
        <w:rPr>
          <w:sz w:val="24"/>
          <w:szCs w:val="24"/>
        </w:rPr>
        <w:t>mo lo establece esta norma? ¿Estos informes tiene</w:t>
      </w:r>
      <w:r w:rsidR="0064158C" w:rsidRPr="00CB76D8">
        <w:rPr>
          <w:sz w:val="24"/>
          <w:szCs w:val="24"/>
        </w:rPr>
        <w:t xml:space="preserve">n </w:t>
      </w:r>
      <w:r w:rsidRPr="00CB76D8">
        <w:rPr>
          <w:sz w:val="24"/>
          <w:szCs w:val="24"/>
        </w:rPr>
        <w:t>carácter público</w:t>
      </w:r>
      <w:r w:rsidR="00353EBB" w:rsidRPr="00CB76D8">
        <w:rPr>
          <w:sz w:val="24"/>
          <w:szCs w:val="24"/>
        </w:rPr>
        <w:t>?</w:t>
      </w:r>
      <w:r w:rsidR="0064158C" w:rsidRPr="00CB76D8">
        <w:rPr>
          <w:sz w:val="24"/>
          <w:szCs w:val="24"/>
        </w:rPr>
        <w:t>,</w:t>
      </w:r>
      <w:r w:rsidR="00353EBB" w:rsidRPr="00CB76D8">
        <w:rPr>
          <w:sz w:val="24"/>
          <w:szCs w:val="24"/>
        </w:rPr>
        <w:t xml:space="preserve"> </w:t>
      </w:r>
      <w:r w:rsidRPr="00CB76D8">
        <w:rPr>
          <w:sz w:val="24"/>
          <w:szCs w:val="24"/>
        </w:rPr>
        <w:t>si es así</w:t>
      </w:r>
      <w:r w:rsidR="00353EBB" w:rsidRPr="00CB76D8">
        <w:rPr>
          <w:sz w:val="24"/>
          <w:szCs w:val="24"/>
        </w:rPr>
        <w:t>,</w:t>
      </w:r>
      <w:r w:rsidRPr="00CB76D8">
        <w:rPr>
          <w:sz w:val="24"/>
          <w:szCs w:val="24"/>
        </w:rPr>
        <w:t xml:space="preserve"> </w:t>
      </w:r>
      <w:r w:rsidR="00353EBB" w:rsidRPr="00CB76D8">
        <w:rPr>
          <w:sz w:val="24"/>
          <w:szCs w:val="24"/>
        </w:rPr>
        <w:t>¿</w:t>
      </w:r>
      <w:r w:rsidRPr="00CB76D8">
        <w:rPr>
          <w:sz w:val="24"/>
          <w:szCs w:val="24"/>
        </w:rPr>
        <w:t>a trav</w:t>
      </w:r>
      <w:r w:rsidR="00353EBB" w:rsidRPr="00CB76D8">
        <w:rPr>
          <w:sz w:val="24"/>
          <w:szCs w:val="24"/>
        </w:rPr>
        <w:t>és de qué medios son difundidos</w:t>
      </w:r>
      <w:r w:rsidR="0064158C" w:rsidRPr="00CB76D8">
        <w:rPr>
          <w:sz w:val="24"/>
          <w:szCs w:val="24"/>
        </w:rPr>
        <w:t>?</w:t>
      </w:r>
      <w:r w:rsidR="00763E14" w:rsidRPr="00CB76D8">
        <w:rPr>
          <w:sz w:val="24"/>
          <w:szCs w:val="24"/>
        </w:rPr>
        <w:t>.</w:t>
      </w:r>
    </w:p>
    <w:p w14:paraId="02B87A45" w14:textId="6D453026" w:rsidR="0058745D" w:rsidRPr="00CB76D8" w:rsidRDefault="003D31D8" w:rsidP="00EB0011">
      <w:pPr>
        <w:pStyle w:val="Prrafodelista"/>
        <w:numPr>
          <w:ilvl w:val="0"/>
          <w:numId w:val="1"/>
        </w:numPr>
        <w:jc w:val="both"/>
        <w:rPr>
          <w:sz w:val="24"/>
          <w:szCs w:val="24"/>
        </w:rPr>
      </w:pPr>
      <w:r w:rsidRPr="00CB76D8">
        <w:rPr>
          <w:sz w:val="24"/>
          <w:szCs w:val="24"/>
        </w:rPr>
        <w:t>¿Qué a</w:t>
      </w:r>
      <w:r w:rsidR="00430C6E" w:rsidRPr="00CB76D8">
        <w:rPr>
          <w:sz w:val="24"/>
          <w:szCs w:val="24"/>
        </w:rPr>
        <w:t xml:space="preserve">cciones de sensibilización </w:t>
      </w:r>
      <w:r w:rsidR="00353EBB" w:rsidRPr="00CB76D8">
        <w:rPr>
          <w:sz w:val="24"/>
          <w:szCs w:val="24"/>
        </w:rPr>
        <w:t>sobre los</w:t>
      </w:r>
      <w:r w:rsidR="0058745D" w:rsidRPr="00CB76D8">
        <w:rPr>
          <w:sz w:val="24"/>
          <w:szCs w:val="24"/>
        </w:rPr>
        <w:t xml:space="preserve"> derechos </w:t>
      </w:r>
      <w:r w:rsidR="00353EBB" w:rsidRPr="00CB76D8">
        <w:rPr>
          <w:sz w:val="24"/>
          <w:szCs w:val="24"/>
        </w:rPr>
        <w:t xml:space="preserve">de las mujeres se han realizado, </w:t>
      </w:r>
      <w:r w:rsidR="0058745D" w:rsidRPr="00CB76D8">
        <w:rPr>
          <w:sz w:val="24"/>
          <w:szCs w:val="24"/>
        </w:rPr>
        <w:t>y los medios a su alcance para hacerlos efectivos, dirigiéndos</w:t>
      </w:r>
      <w:r w:rsidR="0064158C" w:rsidRPr="00CB76D8">
        <w:rPr>
          <w:sz w:val="24"/>
          <w:szCs w:val="24"/>
        </w:rPr>
        <w:t xml:space="preserve">e a grupos específicos como mujeres indígenas, </w:t>
      </w:r>
      <w:r w:rsidR="0058745D" w:rsidRPr="00CB76D8">
        <w:rPr>
          <w:sz w:val="24"/>
          <w:szCs w:val="24"/>
        </w:rPr>
        <w:t xml:space="preserve">mujeres afrobolivianas, mujeres que viven en zonas rurales y alejadas </w:t>
      </w:r>
      <w:r w:rsidR="0064158C" w:rsidRPr="00CB76D8">
        <w:rPr>
          <w:sz w:val="24"/>
          <w:szCs w:val="24"/>
        </w:rPr>
        <w:t>y mujeres con discapacidad?</w:t>
      </w:r>
      <w:r w:rsidR="00763E14" w:rsidRPr="00CB76D8">
        <w:rPr>
          <w:sz w:val="24"/>
          <w:szCs w:val="24"/>
        </w:rPr>
        <w:t>.</w:t>
      </w:r>
    </w:p>
    <w:p w14:paraId="7A375951" w14:textId="12551F03" w:rsidR="00371979" w:rsidRPr="00CB76D8" w:rsidRDefault="00B975EB" w:rsidP="00EB0011">
      <w:pPr>
        <w:pStyle w:val="Prrafodelista"/>
        <w:numPr>
          <w:ilvl w:val="0"/>
          <w:numId w:val="1"/>
        </w:numPr>
        <w:jc w:val="both"/>
        <w:rPr>
          <w:sz w:val="24"/>
          <w:szCs w:val="24"/>
        </w:rPr>
      </w:pPr>
      <w:r w:rsidRPr="00CB76D8">
        <w:rPr>
          <w:sz w:val="24"/>
          <w:szCs w:val="24"/>
        </w:rPr>
        <w:t>¿Con qué</w:t>
      </w:r>
      <w:r w:rsidR="00371979" w:rsidRPr="00CB76D8">
        <w:rPr>
          <w:sz w:val="24"/>
          <w:szCs w:val="24"/>
        </w:rPr>
        <w:t xml:space="preserve"> información estadística cuenta el </w:t>
      </w:r>
      <w:r w:rsidR="006552BF" w:rsidRPr="00CB76D8">
        <w:rPr>
          <w:sz w:val="24"/>
          <w:szCs w:val="24"/>
        </w:rPr>
        <w:t>Estado Parte</w:t>
      </w:r>
      <w:r w:rsidR="00371979" w:rsidRPr="00CB76D8">
        <w:rPr>
          <w:sz w:val="24"/>
          <w:szCs w:val="24"/>
        </w:rPr>
        <w:t xml:space="preserve"> sobre la reducción de las brechas de género a partir de la implementación de políticas públicas</w:t>
      </w:r>
      <w:r w:rsidR="00D4538B" w:rsidRPr="00CB76D8">
        <w:rPr>
          <w:sz w:val="24"/>
          <w:szCs w:val="24"/>
        </w:rPr>
        <w:t>, en especial el Plan Nacional para la Igualdad de Oportunidades – Mujeres Construyendo la Nueva Bolivia para Vivir Bien (PNIO) y el Plan Multisectorial para el Avance en la Despatriarcalización y el Derecho de las Mujeres a Vivir Bien 2016-2020 mencionado en los párrafos 10 y 12 de su informe, respectivamente</w:t>
      </w:r>
      <w:r w:rsidR="00371979" w:rsidRPr="00CB76D8">
        <w:rPr>
          <w:sz w:val="24"/>
          <w:szCs w:val="24"/>
        </w:rPr>
        <w:t>?</w:t>
      </w:r>
      <w:r w:rsidR="00763E14" w:rsidRPr="00CB76D8">
        <w:rPr>
          <w:sz w:val="24"/>
          <w:szCs w:val="24"/>
        </w:rPr>
        <w:t>.</w:t>
      </w:r>
    </w:p>
    <w:p w14:paraId="386A77BB" w14:textId="66937DA5" w:rsidR="00D4538B" w:rsidRPr="00CB76D8" w:rsidRDefault="00353EBB" w:rsidP="00EB0011">
      <w:pPr>
        <w:pStyle w:val="Prrafodelista"/>
        <w:numPr>
          <w:ilvl w:val="0"/>
          <w:numId w:val="1"/>
        </w:numPr>
        <w:jc w:val="both"/>
        <w:rPr>
          <w:sz w:val="24"/>
          <w:szCs w:val="24"/>
        </w:rPr>
      </w:pPr>
      <w:r w:rsidRPr="00CB76D8">
        <w:rPr>
          <w:sz w:val="24"/>
          <w:szCs w:val="24"/>
          <w:lang w:val="es-ES_tradnl"/>
        </w:rPr>
        <w:t>El informe del Estado P</w:t>
      </w:r>
      <w:r w:rsidR="00D4538B" w:rsidRPr="00CB76D8">
        <w:rPr>
          <w:sz w:val="24"/>
          <w:szCs w:val="24"/>
          <w:lang w:val="es-ES_tradnl"/>
        </w:rPr>
        <w:t xml:space="preserve">arte en el párrafo </w:t>
      </w:r>
      <w:r w:rsidRPr="00CB76D8">
        <w:rPr>
          <w:sz w:val="24"/>
          <w:szCs w:val="24"/>
          <w:lang w:val="es-ES_tradnl"/>
        </w:rPr>
        <w:t xml:space="preserve">12 señala que </w:t>
      </w:r>
      <w:r w:rsidRPr="00CB76D8">
        <w:rPr>
          <w:sz w:val="24"/>
          <w:szCs w:val="24"/>
        </w:rPr>
        <w:t xml:space="preserve">hasta el año 2020 </w:t>
      </w:r>
      <w:r w:rsidR="00D4538B" w:rsidRPr="00CB76D8">
        <w:rPr>
          <w:sz w:val="24"/>
          <w:szCs w:val="24"/>
        </w:rPr>
        <w:t>todos los Órganos, las ETAs e i</w:t>
      </w:r>
      <w:r w:rsidRPr="00CB76D8">
        <w:rPr>
          <w:sz w:val="24"/>
          <w:szCs w:val="24"/>
        </w:rPr>
        <w:t>nstancias involucradas, deben</w:t>
      </w:r>
      <w:r w:rsidR="00D4538B" w:rsidRPr="00CB76D8">
        <w:rPr>
          <w:sz w:val="24"/>
          <w:szCs w:val="24"/>
        </w:rPr>
        <w:t xml:space="preserve"> </w:t>
      </w:r>
      <w:r w:rsidRPr="00CB76D8">
        <w:rPr>
          <w:sz w:val="24"/>
          <w:szCs w:val="24"/>
        </w:rPr>
        <w:t xml:space="preserve">reducir </w:t>
      </w:r>
      <w:r w:rsidR="00D4538B" w:rsidRPr="00CB76D8">
        <w:rPr>
          <w:sz w:val="24"/>
          <w:szCs w:val="24"/>
        </w:rPr>
        <w:t xml:space="preserve">los índices de la violencia contra las mujeres y la impunidad de los agresores, a través de la construcción de </w:t>
      </w:r>
      <w:r w:rsidR="00D4538B" w:rsidRPr="00CB76D8">
        <w:rPr>
          <w:sz w:val="24"/>
          <w:szCs w:val="24"/>
        </w:rPr>
        <w:lastRenderedPageBreak/>
        <w:t>una cultura de la no violencia ¿está meta fue alcanzada, en qué medida, con qué datos se cuenta al respecto?</w:t>
      </w:r>
      <w:r w:rsidR="00763E14" w:rsidRPr="00CB76D8">
        <w:rPr>
          <w:sz w:val="24"/>
          <w:szCs w:val="24"/>
        </w:rPr>
        <w:t>.</w:t>
      </w:r>
    </w:p>
    <w:p w14:paraId="3F5BBD50" w14:textId="43480EB0" w:rsidR="000967CC" w:rsidRPr="00342D01" w:rsidRDefault="00B31F93" w:rsidP="000967CC">
      <w:pPr>
        <w:pStyle w:val="Prrafodelista"/>
        <w:numPr>
          <w:ilvl w:val="0"/>
          <w:numId w:val="1"/>
        </w:numPr>
        <w:jc w:val="both"/>
        <w:rPr>
          <w:sz w:val="24"/>
          <w:szCs w:val="24"/>
        </w:rPr>
      </w:pPr>
      <w:r w:rsidRPr="00342D01">
        <w:rPr>
          <w:sz w:val="24"/>
          <w:szCs w:val="24"/>
        </w:rPr>
        <w:t>¿Q</w:t>
      </w:r>
      <w:r w:rsidR="000967CC" w:rsidRPr="00342D01">
        <w:rPr>
          <w:sz w:val="24"/>
          <w:szCs w:val="24"/>
        </w:rPr>
        <w:t>ué acciones se han asumido para introducir el enfoque de género en las medidas de prevención y contención del COVID-19?</w:t>
      </w:r>
      <w:r w:rsidR="00763E14" w:rsidRPr="00342D01">
        <w:rPr>
          <w:sz w:val="24"/>
          <w:szCs w:val="24"/>
        </w:rPr>
        <w:t>.</w:t>
      </w:r>
    </w:p>
    <w:p w14:paraId="678022B7" w14:textId="3E68576B" w:rsidR="00164862" w:rsidRPr="00CB76D8" w:rsidRDefault="00164862" w:rsidP="00EB0011">
      <w:pPr>
        <w:pStyle w:val="Prrafodelista"/>
        <w:numPr>
          <w:ilvl w:val="0"/>
          <w:numId w:val="1"/>
        </w:numPr>
        <w:jc w:val="both"/>
        <w:rPr>
          <w:sz w:val="24"/>
          <w:szCs w:val="24"/>
        </w:rPr>
      </w:pPr>
      <w:r w:rsidRPr="00CB76D8">
        <w:rPr>
          <w:sz w:val="24"/>
          <w:szCs w:val="24"/>
        </w:rPr>
        <w:t xml:space="preserve">Dados los </w:t>
      </w:r>
      <w:r w:rsidR="00A566DF" w:rsidRPr="00CB76D8">
        <w:rPr>
          <w:sz w:val="24"/>
          <w:szCs w:val="24"/>
        </w:rPr>
        <w:t xml:space="preserve">recientes </w:t>
      </w:r>
      <w:r w:rsidRPr="00CB76D8">
        <w:rPr>
          <w:sz w:val="24"/>
          <w:szCs w:val="24"/>
        </w:rPr>
        <w:t xml:space="preserve">cambios institucionales en el Estado boliviano y la desaparición del Ministerio de Culturas y sus dependencias, </w:t>
      </w:r>
      <w:r w:rsidR="0073094C" w:rsidRPr="00CB76D8">
        <w:rPr>
          <w:sz w:val="24"/>
          <w:szCs w:val="24"/>
        </w:rPr>
        <w:t>¿</w:t>
      </w:r>
      <w:r w:rsidRPr="00CB76D8">
        <w:rPr>
          <w:sz w:val="24"/>
          <w:szCs w:val="24"/>
        </w:rPr>
        <w:t xml:space="preserve">Cuál será el destino de la </w:t>
      </w:r>
      <w:r w:rsidR="006F2DA7" w:rsidRPr="00CB76D8">
        <w:rPr>
          <w:sz w:val="24"/>
          <w:szCs w:val="24"/>
        </w:rPr>
        <w:t>Unidad</w:t>
      </w:r>
      <w:r w:rsidRPr="00CB76D8">
        <w:rPr>
          <w:sz w:val="24"/>
          <w:szCs w:val="24"/>
        </w:rPr>
        <w:t xml:space="preserve"> de Despatriarcalización y las acciones que venía desarrollando?</w:t>
      </w:r>
      <w:r w:rsidR="00763E14" w:rsidRPr="00CB76D8">
        <w:rPr>
          <w:sz w:val="24"/>
          <w:szCs w:val="24"/>
        </w:rPr>
        <w:t>.</w:t>
      </w:r>
    </w:p>
    <w:p w14:paraId="39C0A1E5" w14:textId="43EE89C6" w:rsidR="006454C3" w:rsidRPr="00CB76D8" w:rsidRDefault="006454C3" w:rsidP="006454C3">
      <w:pPr>
        <w:pStyle w:val="Prrafodelista"/>
        <w:numPr>
          <w:ilvl w:val="0"/>
          <w:numId w:val="1"/>
        </w:numPr>
        <w:spacing w:line="240" w:lineRule="auto"/>
        <w:jc w:val="both"/>
        <w:rPr>
          <w:sz w:val="24"/>
          <w:szCs w:val="24"/>
        </w:rPr>
      </w:pPr>
      <w:r w:rsidRPr="00CB76D8">
        <w:rPr>
          <w:sz w:val="24"/>
          <w:szCs w:val="24"/>
        </w:rPr>
        <w:t>¿Cuál es el nivel de cumplimiento de las últimas recomendaciones emit</w:t>
      </w:r>
      <w:r w:rsidR="00353EBB" w:rsidRPr="00CB76D8">
        <w:rPr>
          <w:sz w:val="24"/>
          <w:szCs w:val="24"/>
        </w:rPr>
        <w:t>idas por este Comité al Estado P</w:t>
      </w:r>
      <w:r w:rsidRPr="00CB76D8">
        <w:rPr>
          <w:sz w:val="24"/>
          <w:szCs w:val="24"/>
        </w:rPr>
        <w:t>arte? ¿Se han identificado obstáculos y cómo han sido superados?</w:t>
      </w:r>
      <w:r w:rsidR="00763E14" w:rsidRPr="00CB76D8">
        <w:rPr>
          <w:sz w:val="24"/>
          <w:szCs w:val="24"/>
        </w:rPr>
        <w:t>.</w:t>
      </w:r>
      <w:r w:rsidRPr="00CB76D8">
        <w:rPr>
          <w:sz w:val="24"/>
          <w:szCs w:val="24"/>
        </w:rPr>
        <w:t xml:space="preserve"> </w:t>
      </w:r>
    </w:p>
    <w:p w14:paraId="2763A6F6" w14:textId="77777777" w:rsidR="00A553E9" w:rsidRPr="00CB76D8" w:rsidRDefault="000F6116" w:rsidP="00D06A1A">
      <w:pPr>
        <w:jc w:val="both"/>
        <w:rPr>
          <w:b/>
          <w:sz w:val="24"/>
          <w:szCs w:val="24"/>
        </w:rPr>
      </w:pPr>
      <w:r w:rsidRPr="00CB76D8">
        <w:rPr>
          <w:b/>
          <w:sz w:val="24"/>
          <w:szCs w:val="24"/>
        </w:rPr>
        <w:t>ACCESO A LA JUSTICIA Y REMEDIOS JUDICIALES</w:t>
      </w:r>
    </w:p>
    <w:p w14:paraId="35090176" w14:textId="48507D4B" w:rsidR="00F77DA4" w:rsidRPr="00CB76D8" w:rsidRDefault="00353EBB" w:rsidP="00C1799A">
      <w:pPr>
        <w:pStyle w:val="Prrafodelista"/>
        <w:numPr>
          <w:ilvl w:val="0"/>
          <w:numId w:val="9"/>
        </w:numPr>
        <w:jc w:val="both"/>
        <w:rPr>
          <w:sz w:val="24"/>
          <w:szCs w:val="24"/>
        </w:rPr>
      </w:pPr>
      <w:r w:rsidRPr="00CB76D8">
        <w:rPr>
          <w:sz w:val="24"/>
          <w:szCs w:val="24"/>
        </w:rPr>
        <w:t xml:space="preserve">La Ley No. 348 </w:t>
      </w:r>
      <w:r w:rsidR="00F77DA4" w:rsidRPr="00CB76D8">
        <w:rPr>
          <w:sz w:val="24"/>
          <w:szCs w:val="24"/>
        </w:rPr>
        <w:t xml:space="preserve">establece una implementación gradual y progresiva de los juzgados de materia contra la violencia hacia las mujeres. Al 2019 se han creado 27 juzgados y tribunales en </w:t>
      </w:r>
      <w:r w:rsidRPr="00CB76D8">
        <w:rPr>
          <w:sz w:val="24"/>
          <w:szCs w:val="24"/>
        </w:rPr>
        <w:t xml:space="preserve">ciudades capitales y El Alto, </w:t>
      </w:r>
      <w:r w:rsidR="00AB245A" w:rsidRPr="00CB76D8">
        <w:rPr>
          <w:sz w:val="24"/>
          <w:szCs w:val="24"/>
        </w:rPr>
        <w:t xml:space="preserve">de los cuales </w:t>
      </w:r>
      <w:r w:rsidR="00F77DA4" w:rsidRPr="00CB76D8">
        <w:rPr>
          <w:sz w:val="24"/>
          <w:szCs w:val="24"/>
        </w:rPr>
        <w:t xml:space="preserve">24 </w:t>
      </w:r>
      <w:r w:rsidR="00AB245A" w:rsidRPr="00CB76D8">
        <w:rPr>
          <w:sz w:val="24"/>
          <w:szCs w:val="24"/>
        </w:rPr>
        <w:t xml:space="preserve">son </w:t>
      </w:r>
      <w:r w:rsidR="00F77DA4" w:rsidRPr="00CB76D8">
        <w:rPr>
          <w:sz w:val="24"/>
          <w:szCs w:val="24"/>
        </w:rPr>
        <w:t xml:space="preserve">juzgados de instrucción, 2 </w:t>
      </w:r>
      <w:r w:rsidR="00AB245A" w:rsidRPr="00CB76D8">
        <w:rPr>
          <w:sz w:val="24"/>
          <w:szCs w:val="24"/>
        </w:rPr>
        <w:t xml:space="preserve">son </w:t>
      </w:r>
      <w:r w:rsidR="00F77DA4" w:rsidRPr="00CB76D8">
        <w:rPr>
          <w:sz w:val="24"/>
          <w:szCs w:val="24"/>
        </w:rPr>
        <w:t>juzgados de sentencia y 1 tribunal de sentenc</w:t>
      </w:r>
      <w:r w:rsidR="00AB245A" w:rsidRPr="00CB76D8">
        <w:rPr>
          <w:sz w:val="24"/>
          <w:szCs w:val="24"/>
        </w:rPr>
        <w:t>ia, establecidos en 7 municipios urbanos, la cobertura por tanto e</w:t>
      </w:r>
      <w:r w:rsidR="0064158C" w:rsidRPr="00CB76D8">
        <w:rPr>
          <w:sz w:val="24"/>
          <w:szCs w:val="24"/>
        </w:rPr>
        <w:t>s</w:t>
      </w:r>
      <w:r w:rsidR="00AB245A" w:rsidRPr="00CB76D8">
        <w:rPr>
          <w:sz w:val="24"/>
          <w:szCs w:val="24"/>
        </w:rPr>
        <w:t xml:space="preserve"> sólo del </w:t>
      </w:r>
      <w:r w:rsidR="00F77DA4" w:rsidRPr="00CB76D8">
        <w:rPr>
          <w:sz w:val="24"/>
          <w:szCs w:val="24"/>
        </w:rPr>
        <w:t xml:space="preserve">2% </w:t>
      </w:r>
      <w:r w:rsidR="00AB245A" w:rsidRPr="00CB76D8">
        <w:rPr>
          <w:sz w:val="24"/>
          <w:szCs w:val="24"/>
        </w:rPr>
        <w:t>en relación al total de municipios en el país)</w:t>
      </w:r>
      <w:r w:rsidRPr="00CB76D8">
        <w:rPr>
          <w:rStyle w:val="Refdenotaalpie"/>
          <w:sz w:val="24"/>
          <w:szCs w:val="24"/>
        </w:rPr>
        <w:footnoteReference w:id="2"/>
      </w:r>
      <w:r w:rsidR="0064158C" w:rsidRPr="00CB76D8">
        <w:rPr>
          <w:sz w:val="24"/>
          <w:szCs w:val="24"/>
        </w:rPr>
        <w:t>;</w:t>
      </w:r>
      <w:r w:rsidR="00F77DA4" w:rsidRPr="00CB76D8">
        <w:rPr>
          <w:sz w:val="24"/>
          <w:szCs w:val="24"/>
        </w:rPr>
        <w:t xml:space="preserve"> estos tribunales no son juzgados exclusivo</w:t>
      </w:r>
      <w:r w:rsidR="00F77DA4" w:rsidRPr="00342D01">
        <w:rPr>
          <w:sz w:val="24"/>
          <w:szCs w:val="24"/>
        </w:rPr>
        <w:t>s para la materia de violencia contra las mujeres pues atienden también casos por delitos de corrupción</w:t>
      </w:r>
      <w:r w:rsidR="00BB5732" w:rsidRPr="00342D01">
        <w:rPr>
          <w:rStyle w:val="Refdenotaalpie"/>
          <w:sz w:val="24"/>
          <w:szCs w:val="24"/>
        </w:rPr>
        <w:footnoteReference w:id="3"/>
      </w:r>
      <w:r w:rsidR="00F77DA4" w:rsidRPr="00342D01">
        <w:rPr>
          <w:sz w:val="24"/>
          <w:szCs w:val="24"/>
        </w:rPr>
        <w:t>.</w:t>
      </w:r>
      <w:r w:rsidR="00505F30" w:rsidRPr="00342D01">
        <w:rPr>
          <w:sz w:val="24"/>
          <w:szCs w:val="24"/>
        </w:rPr>
        <w:t xml:space="preserve"> </w:t>
      </w:r>
      <w:r w:rsidR="00C1799A" w:rsidRPr="00342D01">
        <w:rPr>
          <w:rFonts w:cs="Arial"/>
          <w:sz w:val="24"/>
          <w:szCs w:val="24"/>
          <w:shd w:val="clear" w:color="auto" w:fill="FFFFFF"/>
        </w:rPr>
        <w:t>Por otro lado, los plazos establecidos en la Ley No. 348 para la conclusión de las investigaciones sobre violencia no se ejecutan a cabalidad, y la consiguiente cesación de la detención preventiva de los imputados por este delito ha dado lugar a que autores de violaciones sexuales y feminicidios salgan en libertad.</w:t>
      </w:r>
    </w:p>
    <w:p w14:paraId="3589DA65" w14:textId="06641310" w:rsidR="00920124" w:rsidRPr="00CB76D8" w:rsidRDefault="00920124" w:rsidP="00EB0011">
      <w:pPr>
        <w:pStyle w:val="Prrafodelista"/>
        <w:numPr>
          <w:ilvl w:val="0"/>
          <w:numId w:val="9"/>
        </w:numPr>
        <w:jc w:val="both"/>
        <w:rPr>
          <w:sz w:val="24"/>
          <w:szCs w:val="24"/>
        </w:rPr>
      </w:pPr>
      <w:r w:rsidRPr="00CB76D8">
        <w:rPr>
          <w:sz w:val="24"/>
          <w:szCs w:val="24"/>
        </w:rPr>
        <w:t>El Estado Parte informa que el SIPPASE-VRG ha logrado responder a la necesidad de un “Programa de Formación Especializado en Violencia en razón de Género”, sin embargo</w:t>
      </w:r>
      <w:r w:rsidR="00EA465C" w:rsidRPr="00CB76D8">
        <w:rPr>
          <w:sz w:val="24"/>
          <w:szCs w:val="24"/>
        </w:rPr>
        <w:t>,</w:t>
      </w:r>
      <w:r w:rsidRPr="00CB76D8">
        <w:rPr>
          <w:sz w:val="24"/>
          <w:szCs w:val="24"/>
        </w:rPr>
        <w:t xml:space="preserve"> éste programa no está en ejecución y los procesos de capacitación realizados de forma sostenida responden a acciones de la sociedad civil con apoyo de la cooperación internacional</w:t>
      </w:r>
      <w:r w:rsidR="00353EBB" w:rsidRPr="00CB76D8">
        <w:rPr>
          <w:sz w:val="24"/>
          <w:szCs w:val="24"/>
        </w:rPr>
        <w:t>.</w:t>
      </w:r>
    </w:p>
    <w:p w14:paraId="6FC1335E" w14:textId="29FF8C28" w:rsidR="00EA465C" w:rsidRPr="00CB76D8" w:rsidRDefault="00EA465C" w:rsidP="00EA465C">
      <w:pPr>
        <w:pStyle w:val="Prrafodelista"/>
        <w:numPr>
          <w:ilvl w:val="0"/>
          <w:numId w:val="9"/>
        </w:numPr>
        <w:jc w:val="both"/>
        <w:rPr>
          <w:sz w:val="24"/>
          <w:szCs w:val="24"/>
        </w:rPr>
      </w:pPr>
      <w:r w:rsidRPr="00CB76D8">
        <w:rPr>
          <w:sz w:val="24"/>
          <w:szCs w:val="24"/>
        </w:rPr>
        <w:t xml:space="preserve">Desde la perspectiva de </w:t>
      </w:r>
      <w:r w:rsidR="00C1799A" w:rsidRPr="00CB76D8">
        <w:rPr>
          <w:sz w:val="24"/>
          <w:szCs w:val="24"/>
        </w:rPr>
        <w:t xml:space="preserve">la </w:t>
      </w:r>
      <w:r w:rsidRPr="00CB76D8">
        <w:rPr>
          <w:sz w:val="24"/>
          <w:szCs w:val="24"/>
        </w:rPr>
        <w:t>Justicia Reproductiva</w:t>
      </w:r>
      <w:r w:rsidR="00C1799A" w:rsidRPr="00CB76D8">
        <w:rPr>
          <w:sz w:val="24"/>
          <w:szCs w:val="24"/>
        </w:rPr>
        <w:t xml:space="preserve">, la diversidad de </w:t>
      </w:r>
      <w:r w:rsidR="00353EBB" w:rsidRPr="00CB76D8">
        <w:rPr>
          <w:sz w:val="24"/>
          <w:szCs w:val="24"/>
        </w:rPr>
        <w:t xml:space="preserve">mujeres respecto a </w:t>
      </w:r>
      <w:r w:rsidRPr="00CB76D8">
        <w:rPr>
          <w:sz w:val="24"/>
          <w:szCs w:val="24"/>
        </w:rPr>
        <w:t xml:space="preserve"> </w:t>
      </w:r>
      <w:r w:rsidR="00353EBB" w:rsidRPr="00CB76D8">
        <w:rPr>
          <w:sz w:val="24"/>
          <w:szCs w:val="24"/>
        </w:rPr>
        <w:t xml:space="preserve">sus </w:t>
      </w:r>
      <w:r w:rsidRPr="00CB76D8">
        <w:rPr>
          <w:sz w:val="24"/>
          <w:szCs w:val="24"/>
        </w:rPr>
        <w:t>diferente</w:t>
      </w:r>
      <w:r w:rsidR="00C1799A" w:rsidRPr="00CB76D8">
        <w:rPr>
          <w:sz w:val="24"/>
          <w:szCs w:val="24"/>
        </w:rPr>
        <w:t>s</w:t>
      </w:r>
      <w:r w:rsidRPr="00CB76D8">
        <w:rPr>
          <w:sz w:val="24"/>
          <w:szCs w:val="24"/>
        </w:rPr>
        <w:t xml:space="preserve"> condiciones de desigualdades</w:t>
      </w:r>
      <w:r w:rsidR="00C1799A" w:rsidRPr="00CB76D8">
        <w:rPr>
          <w:sz w:val="24"/>
          <w:szCs w:val="24"/>
        </w:rPr>
        <w:t>, op</w:t>
      </w:r>
      <w:r w:rsidR="00353EBB" w:rsidRPr="00CB76D8">
        <w:rPr>
          <w:sz w:val="24"/>
          <w:szCs w:val="24"/>
        </w:rPr>
        <w:t xml:space="preserve">resiones y discriminaciones, </w:t>
      </w:r>
      <w:r w:rsidR="00C1799A" w:rsidRPr="00CB76D8">
        <w:rPr>
          <w:sz w:val="24"/>
          <w:szCs w:val="24"/>
        </w:rPr>
        <w:t xml:space="preserve">no son consideradas </w:t>
      </w:r>
      <w:r w:rsidRPr="00CB76D8">
        <w:rPr>
          <w:sz w:val="24"/>
          <w:szCs w:val="24"/>
        </w:rPr>
        <w:t xml:space="preserve"> </w:t>
      </w:r>
      <w:r w:rsidR="00353EBB" w:rsidRPr="00CB76D8">
        <w:rPr>
          <w:sz w:val="24"/>
          <w:szCs w:val="24"/>
        </w:rPr>
        <w:t>al momento de proteger sus</w:t>
      </w:r>
      <w:r w:rsidR="00C1799A" w:rsidRPr="00CB76D8">
        <w:rPr>
          <w:sz w:val="24"/>
          <w:szCs w:val="24"/>
        </w:rPr>
        <w:t xml:space="preserve"> </w:t>
      </w:r>
      <w:r w:rsidRPr="00CB76D8">
        <w:rPr>
          <w:sz w:val="24"/>
          <w:szCs w:val="24"/>
        </w:rPr>
        <w:t>deci</w:t>
      </w:r>
      <w:r w:rsidR="00C1799A" w:rsidRPr="00CB76D8">
        <w:rPr>
          <w:sz w:val="24"/>
          <w:szCs w:val="24"/>
        </w:rPr>
        <w:t xml:space="preserve">siones reproductivas y sexuales, por ejemplo </w:t>
      </w:r>
      <w:r w:rsidR="00353EBB" w:rsidRPr="00CB76D8">
        <w:rPr>
          <w:sz w:val="24"/>
          <w:szCs w:val="24"/>
        </w:rPr>
        <w:t xml:space="preserve">en </w:t>
      </w:r>
      <w:r w:rsidRPr="00CB76D8">
        <w:rPr>
          <w:sz w:val="24"/>
          <w:szCs w:val="24"/>
        </w:rPr>
        <w:t>caso</w:t>
      </w:r>
      <w:r w:rsidR="00353EBB" w:rsidRPr="00CB76D8">
        <w:rPr>
          <w:sz w:val="24"/>
          <w:szCs w:val="24"/>
        </w:rPr>
        <w:t xml:space="preserve">s de violencia y </w:t>
      </w:r>
      <w:r w:rsidRPr="00CB76D8">
        <w:rPr>
          <w:sz w:val="24"/>
          <w:szCs w:val="24"/>
        </w:rPr>
        <w:t xml:space="preserve">coerción reproductiva, como las restricciones a su </w:t>
      </w:r>
      <w:r w:rsidRPr="00CB76D8">
        <w:rPr>
          <w:sz w:val="24"/>
          <w:szCs w:val="24"/>
        </w:rPr>
        <w:lastRenderedPageBreak/>
        <w:t>autonomía corporal y sexual (compatibilidad de vida laboral, familiar y/o estudios), embarazos y maternidades forzadas por restricciones al uso de antic</w:t>
      </w:r>
      <w:r w:rsidR="00C1799A" w:rsidRPr="00CB76D8">
        <w:rPr>
          <w:sz w:val="24"/>
          <w:szCs w:val="24"/>
        </w:rPr>
        <w:t xml:space="preserve">onceptivos y violencia sexual. </w:t>
      </w:r>
    </w:p>
    <w:p w14:paraId="301FACCB" w14:textId="76944BDC" w:rsidR="000967CC" w:rsidRPr="00342D01" w:rsidRDefault="000967CC" w:rsidP="00C1799A">
      <w:pPr>
        <w:pStyle w:val="Prrafodelista"/>
        <w:numPr>
          <w:ilvl w:val="0"/>
          <w:numId w:val="9"/>
        </w:numPr>
        <w:jc w:val="both"/>
        <w:rPr>
          <w:sz w:val="24"/>
          <w:szCs w:val="24"/>
        </w:rPr>
      </w:pPr>
      <w:r w:rsidRPr="00342D01">
        <w:rPr>
          <w:sz w:val="24"/>
          <w:szCs w:val="24"/>
        </w:rPr>
        <w:t>El presupuesto destinado al sector justicia ha sido menor al 1% del total de recursos del TGN los últimos siete años. Al 2020, la suma total de los presupuestos destinados al Órgano Judicial, Fiscalía General del Estado, Tribunal Constitucional Plurinacional, Servicio Plurinacional de Defensa Pública, Servicio Plurinacional de Asistencia a la Víctima, Escuela de Jueces del Estado, Ministerio de Justicia y Transparencia institucional, representa el 0,52% sobre el total de recursos del presupuesto del Tesoro General.</w:t>
      </w:r>
    </w:p>
    <w:p w14:paraId="3EB70FCF" w14:textId="77777777" w:rsidR="00C1799A" w:rsidRPr="00342D01" w:rsidRDefault="000967CC" w:rsidP="00C1799A">
      <w:pPr>
        <w:pStyle w:val="Prrafodelista"/>
        <w:numPr>
          <w:ilvl w:val="0"/>
          <w:numId w:val="9"/>
        </w:numPr>
        <w:jc w:val="both"/>
        <w:rPr>
          <w:sz w:val="24"/>
          <w:szCs w:val="24"/>
        </w:rPr>
      </w:pPr>
      <w:r w:rsidRPr="00342D01">
        <w:rPr>
          <w:sz w:val="24"/>
          <w:szCs w:val="24"/>
        </w:rPr>
        <w:t xml:space="preserve">Las medidas adoptadas en las reformas penales y penitenciarias aún no se adecúan a lo dispuesto por las Reglas de Bangkok. A marzo de 2020 Bolivia registró un total de 18260 personas privadas de libertad, distribuidas en 48 recintos carcelarios (20 urbanos y 28 rurales). Las mujeres ocupan el 6,59% del total de la población privada de libertad (1204 mujeres), dicho porcentaje se encuentra por encima del promedio mundial. </w:t>
      </w:r>
    </w:p>
    <w:p w14:paraId="4F149BFA" w14:textId="4CA574EC" w:rsidR="000967CC" w:rsidRPr="00342D01" w:rsidRDefault="000967CC" w:rsidP="00C1799A">
      <w:pPr>
        <w:pStyle w:val="Prrafodelista"/>
        <w:numPr>
          <w:ilvl w:val="0"/>
          <w:numId w:val="9"/>
        </w:numPr>
        <w:jc w:val="both"/>
        <w:rPr>
          <w:sz w:val="24"/>
          <w:szCs w:val="24"/>
        </w:rPr>
      </w:pPr>
      <w:r w:rsidRPr="00342D01">
        <w:rPr>
          <w:sz w:val="24"/>
          <w:szCs w:val="24"/>
        </w:rPr>
        <w:t>De acuerdo a datos del Censo Penitenciario realizado en Bolivia en abril de 2019, existían al menos 51 mujeres embarazadas en las cárceles del país</w:t>
      </w:r>
      <w:r w:rsidRPr="00342D01">
        <w:rPr>
          <w:rStyle w:val="Refdenotaalpie"/>
          <w:sz w:val="24"/>
          <w:szCs w:val="24"/>
        </w:rPr>
        <w:footnoteReference w:id="4"/>
      </w:r>
      <w:r w:rsidRPr="00342D01">
        <w:rPr>
          <w:sz w:val="24"/>
          <w:szCs w:val="24"/>
        </w:rPr>
        <w:t xml:space="preserve">, por lo que no se está cumpliendo con las garantías reforzadas que la norma otorga para aplicar la detención preventiva, ni tampoco se considera la situación de embarazo para adoptar otras medidas que reduzcan la </w:t>
      </w:r>
      <w:r w:rsidR="00C1799A" w:rsidRPr="00342D01">
        <w:rPr>
          <w:sz w:val="24"/>
          <w:szCs w:val="24"/>
        </w:rPr>
        <w:t xml:space="preserve">privación de libertad </w:t>
      </w:r>
      <w:r w:rsidRPr="00342D01">
        <w:rPr>
          <w:sz w:val="24"/>
          <w:szCs w:val="24"/>
        </w:rPr>
        <w:t>de mujeres.</w:t>
      </w:r>
      <w:r w:rsidR="00C1799A" w:rsidRPr="00342D01">
        <w:rPr>
          <w:sz w:val="24"/>
          <w:szCs w:val="24"/>
        </w:rPr>
        <w:t xml:space="preserve"> </w:t>
      </w:r>
    </w:p>
    <w:p w14:paraId="685417C5" w14:textId="74C0EDD7" w:rsidR="000967CC" w:rsidRPr="00342D01" w:rsidRDefault="000967CC" w:rsidP="00C1799A">
      <w:pPr>
        <w:pStyle w:val="Prrafodelista"/>
        <w:numPr>
          <w:ilvl w:val="0"/>
          <w:numId w:val="9"/>
        </w:numPr>
        <w:jc w:val="both"/>
        <w:rPr>
          <w:sz w:val="24"/>
          <w:szCs w:val="24"/>
        </w:rPr>
      </w:pPr>
      <w:r w:rsidRPr="00342D01">
        <w:rPr>
          <w:sz w:val="24"/>
          <w:szCs w:val="24"/>
        </w:rPr>
        <w:t>De acuerdo a datos de la Dirección General de Régimen Penitenciario</w:t>
      </w:r>
      <w:r w:rsidRPr="00342D01">
        <w:rPr>
          <w:rStyle w:val="Refdenotaalpie"/>
          <w:sz w:val="24"/>
          <w:szCs w:val="24"/>
        </w:rPr>
        <w:footnoteReference w:id="5"/>
      </w:r>
      <w:r w:rsidRPr="00342D01">
        <w:rPr>
          <w:sz w:val="24"/>
          <w:szCs w:val="24"/>
        </w:rPr>
        <w:t xml:space="preserve"> todavía existen 117 menores de 0 a 6 años conviviendo con sus madres dentro de los recintos carcelarios, y en lugar de impulsar acciones positivas para evitar que las mujeres ingresen a prisión, durante las primeras semanadas de la pandemia del COVID-19, el Estado promulgó tres decretos supremos que promovían el uso del sistema penal como respuesta al incumplimiento de la cuarentena. </w:t>
      </w:r>
    </w:p>
    <w:p w14:paraId="048C15F5" w14:textId="08163F09" w:rsidR="000F6116" w:rsidRPr="00CB76D8" w:rsidRDefault="000F6116" w:rsidP="00D06A1A">
      <w:pPr>
        <w:jc w:val="both"/>
        <w:rPr>
          <w:b/>
          <w:i/>
          <w:sz w:val="24"/>
          <w:szCs w:val="24"/>
        </w:rPr>
      </w:pPr>
      <w:r w:rsidRPr="00CB76D8">
        <w:rPr>
          <w:rFonts w:cs="Calibri"/>
          <w:b/>
          <w:i/>
          <w:color w:val="000000"/>
          <w:sz w:val="24"/>
          <w:szCs w:val="24"/>
        </w:rPr>
        <w:t>Sugerencia</w:t>
      </w:r>
      <w:r w:rsidR="00BB5732" w:rsidRPr="00CB76D8">
        <w:rPr>
          <w:rFonts w:cs="Calibri"/>
          <w:b/>
          <w:i/>
          <w:color w:val="000000"/>
          <w:sz w:val="24"/>
          <w:szCs w:val="24"/>
        </w:rPr>
        <w:t>s</w:t>
      </w:r>
      <w:r w:rsidRPr="00CB76D8">
        <w:rPr>
          <w:rFonts w:cs="Calibri"/>
          <w:b/>
          <w:i/>
          <w:color w:val="000000"/>
          <w:sz w:val="24"/>
          <w:szCs w:val="24"/>
        </w:rPr>
        <w:t xml:space="preserve"> de cuestiones:</w:t>
      </w:r>
    </w:p>
    <w:p w14:paraId="0D331380" w14:textId="20EDF7E5" w:rsidR="000F6116" w:rsidRPr="00CB76D8" w:rsidRDefault="000F6116" w:rsidP="00EB0011">
      <w:pPr>
        <w:pStyle w:val="Prrafodelista"/>
        <w:numPr>
          <w:ilvl w:val="0"/>
          <w:numId w:val="2"/>
        </w:numPr>
        <w:jc w:val="both"/>
        <w:rPr>
          <w:rFonts w:cs="ArenaCondensed"/>
          <w:sz w:val="24"/>
          <w:szCs w:val="24"/>
          <w:lang w:eastAsia="es-BO"/>
        </w:rPr>
      </w:pPr>
      <w:r w:rsidRPr="00CB76D8">
        <w:rPr>
          <w:sz w:val="24"/>
          <w:szCs w:val="24"/>
        </w:rPr>
        <w:t>¿</w:t>
      </w:r>
      <w:r w:rsidR="00EE15CD" w:rsidRPr="00CB76D8">
        <w:rPr>
          <w:sz w:val="24"/>
          <w:szCs w:val="24"/>
        </w:rPr>
        <w:t>Cómo se enfrenta la demora</w:t>
      </w:r>
      <w:r w:rsidR="00FF6E39" w:rsidRPr="00CB76D8">
        <w:rPr>
          <w:sz w:val="24"/>
          <w:szCs w:val="24"/>
        </w:rPr>
        <w:t xml:space="preserve"> en el establecimiento de tribunales especializados</w:t>
      </w:r>
      <w:r w:rsidR="00CA10E2" w:rsidRPr="00CB76D8">
        <w:rPr>
          <w:sz w:val="24"/>
          <w:szCs w:val="24"/>
        </w:rPr>
        <w:t xml:space="preserve"> </w:t>
      </w:r>
      <w:r w:rsidR="00DD1EB1" w:rsidRPr="00CB76D8">
        <w:rPr>
          <w:sz w:val="24"/>
          <w:szCs w:val="24"/>
        </w:rPr>
        <w:t>en materia de violencia contra las mujeres</w:t>
      </w:r>
      <w:r w:rsidR="00FF6E39" w:rsidRPr="00CB76D8">
        <w:rPr>
          <w:sz w:val="24"/>
          <w:szCs w:val="24"/>
        </w:rPr>
        <w:t xml:space="preserve"> que se dediquen exclusivamente a casos de violencia contra la</w:t>
      </w:r>
      <w:r w:rsidR="00EE15CD" w:rsidRPr="00CB76D8">
        <w:rPr>
          <w:sz w:val="24"/>
          <w:szCs w:val="24"/>
        </w:rPr>
        <w:t>s</w:t>
      </w:r>
      <w:r w:rsidR="00FF6E39" w:rsidRPr="00CB76D8">
        <w:rPr>
          <w:sz w:val="24"/>
          <w:szCs w:val="24"/>
        </w:rPr>
        <w:t xml:space="preserve"> mujer</w:t>
      </w:r>
      <w:r w:rsidR="00EE15CD" w:rsidRPr="00CB76D8">
        <w:rPr>
          <w:sz w:val="24"/>
          <w:szCs w:val="24"/>
        </w:rPr>
        <w:t>es</w:t>
      </w:r>
      <w:r w:rsidR="00FF6E39" w:rsidRPr="00CB76D8">
        <w:rPr>
          <w:sz w:val="24"/>
          <w:szCs w:val="24"/>
        </w:rPr>
        <w:t>, con arreg</w:t>
      </w:r>
      <w:r w:rsidR="00EE15CD" w:rsidRPr="00CB76D8">
        <w:rPr>
          <w:sz w:val="24"/>
          <w:szCs w:val="24"/>
        </w:rPr>
        <w:t xml:space="preserve">lo a lo previsto en la Ley No. </w:t>
      </w:r>
      <w:r w:rsidR="00FF6E39" w:rsidRPr="00CB76D8">
        <w:rPr>
          <w:sz w:val="24"/>
          <w:szCs w:val="24"/>
        </w:rPr>
        <w:t>348 de 2013</w:t>
      </w:r>
      <w:r w:rsidR="0064158C" w:rsidRPr="00CB76D8">
        <w:rPr>
          <w:sz w:val="24"/>
          <w:szCs w:val="24"/>
        </w:rPr>
        <w:t>?</w:t>
      </w:r>
      <w:r w:rsidR="00763E14" w:rsidRPr="00CB76D8">
        <w:rPr>
          <w:sz w:val="24"/>
          <w:szCs w:val="24"/>
        </w:rPr>
        <w:t xml:space="preserve">. ¿El </w:t>
      </w:r>
      <w:r w:rsidR="00763E14" w:rsidRPr="00CB76D8">
        <w:rPr>
          <w:rFonts w:cs="Arial"/>
          <w:sz w:val="24"/>
          <w:szCs w:val="24"/>
          <w:shd w:val="clear" w:color="auto" w:fill="FFFFFF"/>
        </w:rPr>
        <w:t>Plan de Reordenamiento de Juzgados y Tribunales en el marco de la Ley No. 1173 contempla la creación de estos juzgados y tribunales especializados y exclusivos?.</w:t>
      </w:r>
    </w:p>
    <w:p w14:paraId="7B7FD184" w14:textId="4BD65455" w:rsidR="00EE15CD" w:rsidRPr="00CB76D8" w:rsidRDefault="00F77DA4" w:rsidP="00EB0011">
      <w:pPr>
        <w:pStyle w:val="Prrafodelista"/>
        <w:numPr>
          <w:ilvl w:val="0"/>
          <w:numId w:val="2"/>
        </w:numPr>
        <w:jc w:val="both"/>
        <w:rPr>
          <w:sz w:val="24"/>
          <w:szCs w:val="24"/>
        </w:rPr>
      </w:pPr>
      <w:r w:rsidRPr="00CB76D8">
        <w:rPr>
          <w:rFonts w:cs="ArenaCondensed"/>
          <w:sz w:val="24"/>
          <w:szCs w:val="24"/>
          <w:lang w:eastAsia="es-BO"/>
        </w:rPr>
        <w:t>¿Cuál es la proporción de las causas por delitos de violencia contra las mujeres en relación al total de causas penales</w:t>
      </w:r>
      <w:r w:rsidR="00075BD7" w:rsidRPr="00CB76D8">
        <w:rPr>
          <w:rFonts w:cs="ArenaCondensed"/>
          <w:sz w:val="24"/>
          <w:szCs w:val="24"/>
          <w:lang w:eastAsia="es-BO"/>
        </w:rPr>
        <w:t xml:space="preserve">? ¿Considera el </w:t>
      </w:r>
      <w:r w:rsidR="006552BF" w:rsidRPr="00CB76D8">
        <w:rPr>
          <w:rFonts w:cs="ArenaCondensed"/>
          <w:sz w:val="24"/>
          <w:szCs w:val="24"/>
          <w:lang w:eastAsia="es-BO"/>
        </w:rPr>
        <w:t>Estado Parte</w:t>
      </w:r>
      <w:r w:rsidR="00075BD7" w:rsidRPr="00CB76D8">
        <w:rPr>
          <w:rFonts w:cs="ArenaCondensed"/>
          <w:sz w:val="24"/>
          <w:szCs w:val="24"/>
          <w:lang w:eastAsia="es-BO"/>
        </w:rPr>
        <w:t xml:space="preserve"> que </w:t>
      </w:r>
      <w:r w:rsidR="000605DC" w:rsidRPr="00CB76D8">
        <w:rPr>
          <w:rFonts w:cs="ArenaCondensed"/>
          <w:sz w:val="24"/>
          <w:szCs w:val="24"/>
          <w:lang w:eastAsia="es-BO"/>
        </w:rPr>
        <w:t xml:space="preserve">la carga procesal </w:t>
      </w:r>
      <w:r w:rsidR="00075BD7" w:rsidRPr="00CB76D8">
        <w:rPr>
          <w:rFonts w:cs="ArenaCondensed"/>
          <w:sz w:val="24"/>
          <w:szCs w:val="24"/>
          <w:lang w:eastAsia="es-BO"/>
        </w:rPr>
        <w:lastRenderedPageBreak/>
        <w:t xml:space="preserve">por delitos de </w:t>
      </w:r>
      <w:r w:rsidR="004C7173" w:rsidRPr="00CB76D8">
        <w:rPr>
          <w:rFonts w:cs="ArenaCondensed"/>
          <w:sz w:val="24"/>
          <w:szCs w:val="24"/>
          <w:lang w:eastAsia="es-BO"/>
        </w:rPr>
        <w:t>violencia es proporcional a</w:t>
      </w:r>
      <w:r w:rsidRPr="00CB76D8">
        <w:rPr>
          <w:rFonts w:cs="ArenaCondensed"/>
          <w:sz w:val="24"/>
          <w:szCs w:val="24"/>
          <w:lang w:eastAsia="es-BO"/>
        </w:rPr>
        <w:t xml:space="preserve"> la cantidad de tribun</w:t>
      </w:r>
      <w:r w:rsidR="0064158C" w:rsidRPr="00CB76D8">
        <w:rPr>
          <w:rFonts w:cs="ArenaCondensed"/>
          <w:sz w:val="24"/>
          <w:szCs w:val="24"/>
          <w:lang w:eastAsia="es-BO"/>
        </w:rPr>
        <w:t>ales y juzgados especializados</w:t>
      </w:r>
      <w:r w:rsidR="00763E14" w:rsidRPr="00CB76D8">
        <w:rPr>
          <w:rFonts w:cs="ArenaCondensed"/>
          <w:sz w:val="24"/>
          <w:szCs w:val="24"/>
          <w:lang w:eastAsia="es-BO"/>
        </w:rPr>
        <w:t xml:space="preserve"> existentes</w:t>
      </w:r>
      <w:r w:rsidR="0064158C" w:rsidRPr="00CB76D8">
        <w:rPr>
          <w:rFonts w:cs="ArenaCondensed"/>
          <w:sz w:val="24"/>
          <w:szCs w:val="24"/>
          <w:lang w:eastAsia="es-BO"/>
        </w:rPr>
        <w:t>?</w:t>
      </w:r>
      <w:r w:rsidR="00763E14" w:rsidRPr="00CB76D8">
        <w:rPr>
          <w:rFonts w:cs="ArenaCondensed"/>
          <w:sz w:val="24"/>
          <w:szCs w:val="24"/>
          <w:lang w:eastAsia="es-BO"/>
        </w:rPr>
        <w:t>.</w:t>
      </w:r>
    </w:p>
    <w:p w14:paraId="0A5C8D95" w14:textId="0137EDCC" w:rsidR="00B16206" w:rsidRPr="00342D01" w:rsidRDefault="009F5583" w:rsidP="00EB0011">
      <w:pPr>
        <w:pStyle w:val="Prrafodelista"/>
        <w:numPr>
          <w:ilvl w:val="0"/>
          <w:numId w:val="2"/>
        </w:numPr>
        <w:jc w:val="both"/>
        <w:rPr>
          <w:sz w:val="24"/>
          <w:szCs w:val="24"/>
        </w:rPr>
      </w:pPr>
      <w:r w:rsidRPr="00CB76D8">
        <w:rPr>
          <w:rFonts w:cs="Arial"/>
          <w:color w:val="FF0000"/>
          <w:sz w:val="24"/>
          <w:szCs w:val="24"/>
          <w:shd w:val="clear" w:color="auto" w:fill="FFFFFF"/>
        </w:rPr>
        <w:t>¿</w:t>
      </w:r>
      <w:r w:rsidRPr="00342D01">
        <w:rPr>
          <w:rFonts w:cs="Arial"/>
          <w:sz w:val="24"/>
          <w:szCs w:val="24"/>
          <w:shd w:val="clear" w:color="auto" w:fill="FFFFFF"/>
        </w:rPr>
        <w:t>Q</w:t>
      </w:r>
      <w:r w:rsidR="00B16206" w:rsidRPr="00342D01">
        <w:rPr>
          <w:rFonts w:cs="Arial"/>
          <w:sz w:val="24"/>
          <w:szCs w:val="24"/>
          <w:shd w:val="clear" w:color="auto" w:fill="FFFFFF"/>
        </w:rPr>
        <w:t>ué mecanismos se han creado pa</w:t>
      </w:r>
      <w:r w:rsidRPr="00342D01">
        <w:rPr>
          <w:rFonts w:cs="Arial"/>
          <w:sz w:val="24"/>
          <w:szCs w:val="24"/>
          <w:shd w:val="clear" w:color="auto" w:fill="FFFFFF"/>
        </w:rPr>
        <w:t>ra priorizar</w:t>
      </w:r>
      <w:r w:rsidR="00B16206" w:rsidRPr="00342D01">
        <w:rPr>
          <w:rFonts w:cs="Arial"/>
          <w:sz w:val="24"/>
          <w:szCs w:val="24"/>
          <w:shd w:val="clear" w:color="auto" w:fill="FFFFFF"/>
        </w:rPr>
        <w:t xml:space="preserve"> la conclusión de las investigaciones y</w:t>
      </w:r>
      <w:r w:rsidRPr="00342D01">
        <w:rPr>
          <w:rFonts w:cs="Arial"/>
          <w:sz w:val="24"/>
          <w:szCs w:val="24"/>
          <w:shd w:val="clear" w:color="auto" w:fill="FFFFFF"/>
        </w:rPr>
        <w:t xml:space="preserve"> el procesamiento de casos de violencia sexual y feminicidio para </w:t>
      </w:r>
      <w:r w:rsidR="00B16206" w:rsidRPr="00342D01">
        <w:rPr>
          <w:rFonts w:cs="Arial"/>
          <w:sz w:val="24"/>
          <w:szCs w:val="24"/>
          <w:shd w:val="clear" w:color="auto" w:fill="FFFFFF"/>
        </w:rPr>
        <w:t xml:space="preserve">evitar la impunidad </w:t>
      </w:r>
      <w:r w:rsidRPr="00342D01">
        <w:rPr>
          <w:rFonts w:cs="Arial"/>
          <w:sz w:val="24"/>
          <w:szCs w:val="24"/>
          <w:shd w:val="clear" w:color="auto" w:fill="FFFFFF"/>
        </w:rPr>
        <w:t>o mayor riesgo para las víctimas?</w:t>
      </w:r>
      <w:r w:rsidR="00CB76D8" w:rsidRPr="00342D01">
        <w:rPr>
          <w:rFonts w:cs="Arial"/>
          <w:sz w:val="24"/>
          <w:szCs w:val="24"/>
          <w:shd w:val="clear" w:color="auto" w:fill="FFFFFF"/>
        </w:rPr>
        <w:t>.</w:t>
      </w:r>
    </w:p>
    <w:p w14:paraId="63CF2C43" w14:textId="19372680" w:rsidR="00EA465C" w:rsidRPr="00342D01" w:rsidRDefault="00920124" w:rsidP="00EA465C">
      <w:pPr>
        <w:pStyle w:val="Prrafodelista"/>
        <w:numPr>
          <w:ilvl w:val="0"/>
          <w:numId w:val="2"/>
        </w:numPr>
        <w:jc w:val="both"/>
        <w:rPr>
          <w:sz w:val="24"/>
          <w:szCs w:val="24"/>
        </w:rPr>
      </w:pPr>
      <w:r w:rsidRPr="00342D01">
        <w:rPr>
          <w:rFonts w:cs="ArenaCondensed"/>
          <w:sz w:val="24"/>
          <w:szCs w:val="24"/>
          <w:lang w:eastAsia="es-BO"/>
        </w:rPr>
        <w:t xml:space="preserve">¿Cuál es el presupuesto asignado a la implementación del </w:t>
      </w:r>
      <w:r w:rsidRPr="00342D01">
        <w:rPr>
          <w:sz w:val="24"/>
          <w:szCs w:val="24"/>
        </w:rPr>
        <w:t>Programa de Formación Especializado en Violencia en razón de Género al que hace referencia en el Estado Parte en el párrafo 45 de su informe?</w:t>
      </w:r>
      <w:r w:rsidR="00342D01">
        <w:rPr>
          <w:sz w:val="24"/>
          <w:szCs w:val="24"/>
        </w:rPr>
        <w:t>.</w:t>
      </w:r>
    </w:p>
    <w:p w14:paraId="146B12B4" w14:textId="73CCB96A" w:rsidR="00FF1821" w:rsidRPr="00342D01" w:rsidRDefault="00EA465C" w:rsidP="00B975EB">
      <w:pPr>
        <w:pStyle w:val="Prrafodelista"/>
        <w:numPr>
          <w:ilvl w:val="0"/>
          <w:numId w:val="2"/>
        </w:numPr>
        <w:jc w:val="both"/>
        <w:rPr>
          <w:sz w:val="24"/>
          <w:szCs w:val="24"/>
        </w:rPr>
      </w:pPr>
      <w:r w:rsidRPr="00342D01">
        <w:rPr>
          <w:sz w:val="24"/>
          <w:szCs w:val="24"/>
        </w:rPr>
        <w:t>¿En qué medida las políticas incorpor</w:t>
      </w:r>
      <w:r w:rsidR="000605DC" w:rsidRPr="00342D01">
        <w:rPr>
          <w:sz w:val="24"/>
          <w:szCs w:val="24"/>
        </w:rPr>
        <w:t xml:space="preserve">an </w:t>
      </w:r>
      <w:r w:rsidRPr="00342D01">
        <w:rPr>
          <w:sz w:val="24"/>
          <w:szCs w:val="24"/>
        </w:rPr>
        <w:t>en el órgano judicial las diferentes condiciones de marginalidad, desigualdades, opresiones y situaciones de vulnerabilidad que tienen las mujeres víctimas de violencia vinculadas a sus decisiones sexuales y reproductivas en los ámbitos familiares, públicos e institucionales para garantizar y efectivizar el acceso a la justicia?</w:t>
      </w:r>
      <w:r w:rsidR="00342D01">
        <w:rPr>
          <w:sz w:val="24"/>
          <w:szCs w:val="24"/>
        </w:rPr>
        <w:t>.</w:t>
      </w:r>
    </w:p>
    <w:p w14:paraId="094CC7FE" w14:textId="61D09028" w:rsidR="000967CC" w:rsidRPr="00342D01" w:rsidRDefault="000967CC" w:rsidP="000967CC">
      <w:pPr>
        <w:pStyle w:val="Prrafodelista"/>
        <w:numPr>
          <w:ilvl w:val="0"/>
          <w:numId w:val="2"/>
        </w:numPr>
        <w:jc w:val="both"/>
        <w:rPr>
          <w:sz w:val="24"/>
          <w:szCs w:val="24"/>
        </w:rPr>
      </w:pPr>
      <w:r w:rsidRPr="00342D01">
        <w:rPr>
          <w:sz w:val="24"/>
          <w:szCs w:val="24"/>
        </w:rPr>
        <w:t xml:space="preserve">¿Cuántos recintos carcelarios han sido construidos para albergar exclusivamente a mujeres? ¿Cuántos recintos carcelarios </w:t>
      </w:r>
      <w:r w:rsidR="00CB76D8" w:rsidRPr="00342D01">
        <w:rPr>
          <w:sz w:val="24"/>
          <w:szCs w:val="24"/>
        </w:rPr>
        <w:t xml:space="preserve">en relación al total de existentes </w:t>
      </w:r>
      <w:r w:rsidRPr="00342D01">
        <w:rPr>
          <w:sz w:val="24"/>
          <w:szCs w:val="24"/>
        </w:rPr>
        <w:t xml:space="preserve">proporcionan asistencia ginecológica?, </w:t>
      </w:r>
      <w:r w:rsidR="009F5583" w:rsidRPr="00342D01">
        <w:rPr>
          <w:sz w:val="24"/>
          <w:szCs w:val="24"/>
        </w:rPr>
        <w:t>¿Qué</w:t>
      </w:r>
      <w:r w:rsidRPr="00342D01">
        <w:rPr>
          <w:sz w:val="24"/>
          <w:szCs w:val="24"/>
        </w:rPr>
        <w:t xml:space="preserve"> medidas se han adoptado para adecuar la legislación penal y penitenciaria a lo dispue</w:t>
      </w:r>
      <w:r w:rsidR="009F5583" w:rsidRPr="00342D01">
        <w:rPr>
          <w:sz w:val="24"/>
          <w:szCs w:val="24"/>
        </w:rPr>
        <w:t>sto por las reglas de Ban</w:t>
      </w:r>
      <w:r w:rsidR="00342D01">
        <w:rPr>
          <w:sz w:val="24"/>
          <w:szCs w:val="24"/>
        </w:rPr>
        <w:t>gkok?.</w:t>
      </w:r>
    </w:p>
    <w:p w14:paraId="6AB92FAC" w14:textId="6C902A3C" w:rsidR="00FF1821" w:rsidRPr="00CB76D8" w:rsidRDefault="00FF1821" w:rsidP="000967CC">
      <w:pPr>
        <w:pStyle w:val="Prrafodelista"/>
        <w:jc w:val="both"/>
        <w:rPr>
          <w:sz w:val="24"/>
          <w:szCs w:val="24"/>
        </w:rPr>
      </w:pPr>
    </w:p>
    <w:p w14:paraId="5D66C0BC" w14:textId="77777777" w:rsidR="004C2B48" w:rsidRPr="00CB76D8" w:rsidRDefault="004C2B48" w:rsidP="00D06A1A">
      <w:pPr>
        <w:jc w:val="both"/>
        <w:rPr>
          <w:b/>
          <w:sz w:val="24"/>
          <w:szCs w:val="24"/>
          <w:lang w:val="es-ES_tradnl"/>
        </w:rPr>
      </w:pPr>
      <w:r w:rsidRPr="00CB76D8">
        <w:rPr>
          <w:b/>
          <w:sz w:val="24"/>
          <w:szCs w:val="24"/>
          <w:lang w:val="es-ES_tradnl"/>
        </w:rPr>
        <w:t>MECANISMO NACIONAL ENCARGADO DEL ADELANTO DE LA MUJER</w:t>
      </w:r>
    </w:p>
    <w:p w14:paraId="49FCD1AD" w14:textId="040E1568" w:rsidR="00757E26" w:rsidRPr="00CB76D8" w:rsidRDefault="004C2B48" w:rsidP="00BB5732">
      <w:pPr>
        <w:pStyle w:val="Prrafodelista"/>
        <w:numPr>
          <w:ilvl w:val="0"/>
          <w:numId w:val="9"/>
        </w:numPr>
        <w:jc w:val="both"/>
        <w:rPr>
          <w:sz w:val="24"/>
          <w:szCs w:val="24"/>
          <w:lang w:val="es-ES_tradnl"/>
        </w:rPr>
      </w:pPr>
      <w:r w:rsidRPr="00CB76D8">
        <w:rPr>
          <w:rFonts w:cs="Calibri"/>
          <w:color w:val="000000"/>
          <w:sz w:val="24"/>
          <w:szCs w:val="24"/>
        </w:rPr>
        <w:t xml:space="preserve">El Viceministerio de Igualdad de Oportunidades (VIO), dependiente del Ministerio de Justicia, tiene bajo su tuición la Dirección General de Prevención y Eliminación de Toda Forma de Violencia en Razón de Género y Generacional. </w:t>
      </w:r>
      <w:r w:rsidR="00757E26" w:rsidRPr="00CB76D8">
        <w:rPr>
          <w:rFonts w:cs="Calibri"/>
          <w:color w:val="000000"/>
          <w:sz w:val="24"/>
          <w:szCs w:val="24"/>
        </w:rPr>
        <w:t xml:space="preserve">El Estado Parte </w:t>
      </w:r>
      <w:r w:rsidR="009F5583" w:rsidRPr="00CB76D8">
        <w:rPr>
          <w:rFonts w:cs="Calibri"/>
          <w:color w:val="000000"/>
          <w:sz w:val="24"/>
          <w:szCs w:val="24"/>
        </w:rPr>
        <w:t xml:space="preserve">informa </w:t>
      </w:r>
      <w:r w:rsidR="00757E26" w:rsidRPr="00CB76D8">
        <w:rPr>
          <w:rFonts w:cs="Calibri"/>
          <w:color w:val="000000"/>
          <w:sz w:val="24"/>
          <w:szCs w:val="24"/>
        </w:rPr>
        <w:t>en e</w:t>
      </w:r>
      <w:r w:rsidR="009F5583" w:rsidRPr="00CB76D8">
        <w:rPr>
          <w:rFonts w:cs="Calibri"/>
          <w:color w:val="000000"/>
          <w:sz w:val="24"/>
          <w:szCs w:val="24"/>
        </w:rPr>
        <w:t>l párrafo 59 de su informe, la creación d</w:t>
      </w:r>
      <w:r w:rsidR="00757E26" w:rsidRPr="00CB76D8">
        <w:rPr>
          <w:sz w:val="24"/>
          <w:szCs w:val="24"/>
        </w:rPr>
        <w:t>el Servicio Plurinacional de la Mujer y de la Despatriarcalización “Ana María Romero</w:t>
      </w:r>
      <w:r w:rsidR="009F5583" w:rsidRPr="00CB76D8">
        <w:rPr>
          <w:sz w:val="24"/>
          <w:szCs w:val="24"/>
        </w:rPr>
        <w:t>”</w:t>
      </w:r>
      <w:r w:rsidR="00757E26" w:rsidRPr="00CB76D8">
        <w:rPr>
          <w:sz w:val="24"/>
          <w:szCs w:val="24"/>
        </w:rPr>
        <w:t>, instituido como entidad descentralizada de derecho público con patrimonio propio y autonomía de gestión, gestada para monitorear, realizar seguimiento y evaluar el cumplimiento de las políticas públicas hacia la despatriarcalización.</w:t>
      </w:r>
    </w:p>
    <w:p w14:paraId="650CA884" w14:textId="6DA5CEDF" w:rsidR="004C2B48" w:rsidRPr="00CB76D8" w:rsidRDefault="000821EB" w:rsidP="00DE3C6C">
      <w:pPr>
        <w:pStyle w:val="Prrafodelista"/>
        <w:numPr>
          <w:ilvl w:val="0"/>
          <w:numId w:val="9"/>
        </w:numPr>
        <w:jc w:val="both"/>
        <w:rPr>
          <w:sz w:val="24"/>
          <w:szCs w:val="24"/>
          <w:lang w:val="es-ES_tradnl"/>
        </w:rPr>
      </w:pPr>
      <w:r w:rsidRPr="00CB76D8">
        <w:rPr>
          <w:rFonts w:cs="Calibri"/>
          <w:color w:val="000000"/>
          <w:sz w:val="24"/>
          <w:szCs w:val="24"/>
        </w:rPr>
        <w:t xml:space="preserve">El </w:t>
      </w:r>
      <w:r w:rsidR="006552BF" w:rsidRPr="00CB76D8">
        <w:rPr>
          <w:rFonts w:cs="Calibri"/>
          <w:color w:val="000000"/>
          <w:sz w:val="24"/>
          <w:szCs w:val="24"/>
        </w:rPr>
        <w:t>Estado Parte</w:t>
      </w:r>
      <w:r w:rsidRPr="00CB76D8">
        <w:rPr>
          <w:rFonts w:cs="Calibri"/>
          <w:color w:val="000000"/>
          <w:sz w:val="24"/>
          <w:szCs w:val="24"/>
        </w:rPr>
        <w:t xml:space="preserve"> ha informado </w:t>
      </w:r>
      <w:r w:rsidR="00ED0BCE" w:rsidRPr="00CB76D8">
        <w:rPr>
          <w:rFonts w:cs="Calibri"/>
          <w:color w:val="000000"/>
          <w:sz w:val="24"/>
          <w:szCs w:val="24"/>
        </w:rPr>
        <w:t xml:space="preserve">en el párrafo 16 de su reporte  </w:t>
      </w:r>
      <w:r w:rsidRPr="00CB76D8">
        <w:rPr>
          <w:rFonts w:cs="Calibri"/>
          <w:color w:val="000000"/>
          <w:sz w:val="24"/>
          <w:szCs w:val="24"/>
        </w:rPr>
        <w:t>que e</w:t>
      </w:r>
      <w:r w:rsidRPr="00CB76D8">
        <w:rPr>
          <w:sz w:val="24"/>
          <w:szCs w:val="24"/>
          <w:lang w:val="es-ES_tradnl"/>
        </w:rPr>
        <w:t>n cada gobierno departamental fueron implementadas instancias de género y entidades para la atención y protección de las víctimas</w:t>
      </w:r>
      <w:r w:rsidR="0064158C" w:rsidRPr="00CB76D8">
        <w:rPr>
          <w:sz w:val="24"/>
          <w:szCs w:val="24"/>
          <w:lang w:val="es-ES_tradnl"/>
        </w:rPr>
        <w:t>, e igualmente</w:t>
      </w:r>
      <w:r w:rsidRPr="00CB76D8">
        <w:rPr>
          <w:sz w:val="24"/>
          <w:szCs w:val="24"/>
          <w:lang w:val="es-ES_tradnl"/>
        </w:rPr>
        <w:t xml:space="preserve"> funcionan los Servicios Legales Integrales Municipales (SLIMs) y las Defensorías de la Niñez y Adolescencia (DNA),</w:t>
      </w:r>
      <w:r w:rsidR="0064158C" w:rsidRPr="00CB76D8">
        <w:rPr>
          <w:sz w:val="24"/>
          <w:szCs w:val="24"/>
          <w:lang w:val="es-ES_tradnl"/>
        </w:rPr>
        <w:t xml:space="preserve"> y</w:t>
      </w:r>
      <w:r w:rsidRPr="00CB76D8">
        <w:rPr>
          <w:sz w:val="24"/>
          <w:szCs w:val="24"/>
          <w:lang w:val="es-ES_tradnl"/>
        </w:rPr>
        <w:t xml:space="preserve"> se implementaron casas de acogida y refugios temporales para albergar a mujeres, niñas y niños víctimas de violencia con personal multidisciplina</w:t>
      </w:r>
      <w:r w:rsidR="00DE3C6C" w:rsidRPr="00CB76D8">
        <w:rPr>
          <w:sz w:val="24"/>
          <w:szCs w:val="24"/>
          <w:lang w:val="es-ES_tradnl"/>
        </w:rPr>
        <w:t xml:space="preserve">rio capacitado y especializado, sin embargo estas instancias carecen de  </w:t>
      </w:r>
      <w:r w:rsidR="004C2B48" w:rsidRPr="00CB76D8">
        <w:rPr>
          <w:rFonts w:cs="Calibri"/>
          <w:color w:val="000000"/>
          <w:sz w:val="24"/>
          <w:szCs w:val="24"/>
        </w:rPr>
        <w:t xml:space="preserve">recursos humanos y económicos suficientes para cumplir sus funciones y ejecutar los planes y programas de su competencia. </w:t>
      </w:r>
    </w:p>
    <w:p w14:paraId="31A9B183" w14:textId="36F1BBFA" w:rsidR="004C2B48" w:rsidRPr="00CB76D8" w:rsidRDefault="004C2B48" w:rsidP="00BB5732">
      <w:pPr>
        <w:pStyle w:val="Prrafodelista"/>
        <w:numPr>
          <w:ilvl w:val="0"/>
          <w:numId w:val="9"/>
        </w:numPr>
        <w:jc w:val="both"/>
        <w:rPr>
          <w:sz w:val="24"/>
          <w:szCs w:val="24"/>
        </w:rPr>
      </w:pPr>
      <w:r w:rsidRPr="00CB76D8">
        <w:rPr>
          <w:rFonts w:cs="Calibri"/>
          <w:color w:val="000000"/>
          <w:sz w:val="24"/>
          <w:szCs w:val="24"/>
        </w:rPr>
        <w:lastRenderedPageBreak/>
        <w:t>La Ley No. 348</w:t>
      </w:r>
      <w:r w:rsidR="009F5583" w:rsidRPr="00CB76D8">
        <w:rPr>
          <w:rStyle w:val="Refdenotaalpie"/>
          <w:rFonts w:cs="Calibri"/>
          <w:color w:val="000000"/>
          <w:sz w:val="24"/>
          <w:szCs w:val="24"/>
        </w:rPr>
        <w:footnoteReference w:id="6"/>
      </w:r>
      <w:r w:rsidRPr="00CB76D8">
        <w:rPr>
          <w:rFonts w:cs="Calibri"/>
          <w:color w:val="000000"/>
          <w:sz w:val="24"/>
          <w:szCs w:val="24"/>
        </w:rPr>
        <w:t xml:space="preserve"> establece que </w:t>
      </w:r>
      <w:r w:rsidRPr="00CB76D8">
        <w:rPr>
          <w:sz w:val="24"/>
          <w:szCs w:val="24"/>
        </w:rPr>
        <w:t>las organizaciones sociales y de mujeres de la sociedad civil ejercerán la</w:t>
      </w:r>
      <w:r w:rsidR="009F5583" w:rsidRPr="00CB76D8">
        <w:rPr>
          <w:sz w:val="24"/>
          <w:szCs w:val="24"/>
        </w:rPr>
        <w:t xml:space="preserve"> participación y control social, </w:t>
      </w:r>
      <w:r w:rsidRPr="00CB76D8">
        <w:rPr>
          <w:sz w:val="24"/>
          <w:szCs w:val="24"/>
        </w:rPr>
        <w:t>participando en el diseño, evaluación y gestión de las políticas públicas de prevención, atención y protección a las mujeres y la calidad d</w:t>
      </w:r>
      <w:r w:rsidR="00DE3C6C" w:rsidRPr="00CB76D8">
        <w:rPr>
          <w:sz w:val="24"/>
          <w:szCs w:val="24"/>
        </w:rPr>
        <w:t xml:space="preserve">e los servicios especializados públicos y </w:t>
      </w:r>
      <w:r w:rsidRPr="00CB76D8">
        <w:rPr>
          <w:sz w:val="24"/>
          <w:szCs w:val="24"/>
        </w:rPr>
        <w:t>privados que presten servicios básicos</w:t>
      </w:r>
      <w:r w:rsidR="0064158C" w:rsidRPr="00CB76D8">
        <w:rPr>
          <w:sz w:val="24"/>
          <w:szCs w:val="24"/>
        </w:rPr>
        <w:t>,</w:t>
      </w:r>
      <w:r w:rsidRPr="00CB76D8">
        <w:rPr>
          <w:sz w:val="24"/>
          <w:szCs w:val="24"/>
        </w:rPr>
        <w:t xml:space="preserve"> o que administren recursos fiscales en todos los niveles del </w:t>
      </w:r>
      <w:r w:rsidR="006552BF" w:rsidRPr="00CB76D8">
        <w:rPr>
          <w:sz w:val="24"/>
          <w:szCs w:val="24"/>
        </w:rPr>
        <w:t>Estado Parte</w:t>
      </w:r>
      <w:r w:rsidRPr="00CB76D8">
        <w:rPr>
          <w:sz w:val="24"/>
          <w:szCs w:val="24"/>
        </w:rPr>
        <w:t xml:space="preserve">. </w:t>
      </w:r>
      <w:r w:rsidR="009F5583" w:rsidRPr="00CB76D8">
        <w:rPr>
          <w:sz w:val="24"/>
          <w:szCs w:val="24"/>
        </w:rPr>
        <w:t>S</w:t>
      </w:r>
      <w:r w:rsidRPr="00CB76D8">
        <w:rPr>
          <w:sz w:val="24"/>
          <w:szCs w:val="24"/>
        </w:rPr>
        <w:t xml:space="preserve">i bien algunas Organizaciones No Gubernamentales participaron mediante la asistencia técnica y presentación de propuestas al Ente Rector, ellas no son parte de ninguno de los mecanismos instituidos por el Ministerio de Justicia. </w:t>
      </w:r>
    </w:p>
    <w:p w14:paraId="560BCC19" w14:textId="387B5F9E" w:rsidR="004C2B48" w:rsidRPr="00CB76D8" w:rsidRDefault="004C2B48" w:rsidP="00D06A1A">
      <w:pPr>
        <w:jc w:val="both"/>
        <w:rPr>
          <w:b/>
          <w:i/>
          <w:sz w:val="24"/>
          <w:szCs w:val="24"/>
        </w:rPr>
      </w:pPr>
      <w:r w:rsidRPr="00CB76D8">
        <w:rPr>
          <w:rFonts w:cs="Calibri"/>
          <w:b/>
          <w:i/>
          <w:color w:val="000000"/>
          <w:sz w:val="24"/>
          <w:szCs w:val="24"/>
        </w:rPr>
        <w:t>Sugerencia</w:t>
      </w:r>
      <w:r w:rsidR="00531145" w:rsidRPr="00CB76D8">
        <w:rPr>
          <w:rFonts w:cs="Calibri"/>
          <w:b/>
          <w:i/>
          <w:color w:val="000000"/>
          <w:sz w:val="24"/>
          <w:szCs w:val="24"/>
        </w:rPr>
        <w:t>s</w:t>
      </w:r>
      <w:r w:rsidRPr="00CB76D8">
        <w:rPr>
          <w:rFonts w:cs="Calibri"/>
          <w:b/>
          <w:i/>
          <w:color w:val="000000"/>
          <w:sz w:val="24"/>
          <w:szCs w:val="24"/>
        </w:rPr>
        <w:t xml:space="preserve"> de cuestiones:</w:t>
      </w:r>
    </w:p>
    <w:p w14:paraId="1DA1CF4C" w14:textId="77777777" w:rsidR="00ED0BCE" w:rsidRPr="00CB76D8" w:rsidRDefault="004C2B48" w:rsidP="00EB0011">
      <w:pPr>
        <w:pStyle w:val="Prrafodelista"/>
        <w:numPr>
          <w:ilvl w:val="0"/>
          <w:numId w:val="1"/>
        </w:numPr>
        <w:jc w:val="both"/>
        <w:rPr>
          <w:sz w:val="24"/>
          <w:szCs w:val="24"/>
        </w:rPr>
      </w:pPr>
      <w:r w:rsidRPr="00CB76D8">
        <w:rPr>
          <w:sz w:val="24"/>
          <w:szCs w:val="24"/>
        </w:rPr>
        <w:t>¿</w:t>
      </w:r>
      <w:r w:rsidR="00ED0BCE" w:rsidRPr="00CB76D8">
        <w:rPr>
          <w:sz w:val="24"/>
          <w:szCs w:val="24"/>
        </w:rPr>
        <w:t>Qué instancia se constituye en el</w:t>
      </w:r>
      <w:r w:rsidRPr="00CB76D8">
        <w:rPr>
          <w:rFonts w:cs="Calibri"/>
          <w:color w:val="000000"/>
          <w:sz w:val="24"/>
          <w:szCs w:val="24"/>
        </w:rPr>
        <w:t xml:space="preserve"> Mecanismo Nac</w:t>
      </w:r>
      <w:r w:rsidR="0064158C" w:rsidRPr="00CB76D8">
        <w:rPr>
          <w:rFonts w:cs="Calibri"/>
          <w:color w:val="000000"/>
          <w:sz w:val="24"/>
          <w:szCs w:val="24"/>
        </w:rPr>
        <w:t>ional de Adelanto de la Mujer</w:t>
      </w:r>
      <w:r w:rsidR="00ED0BCE" w:rsidRPr="00CB76D8">
        <w:rPr>
          <w:rFonts w:cs="Calibri"/>
          <w:color w:val="000000"/>
          <w:sz w:val="24"/>
          <w:szCs w:val="24"/>
        </w:rPr>
        <w:t xml:space="preserve"> de Bolivia</w:t>
      </w:r>
      <w:r w:rsidR="002B0592" w:rsidRPr="00CB76D8">
        <w:rPr>
          <w:rFonts w:cs="Calibri"/>
          <w:color w:val="000000"/>
          <w:sz w:val="24"/>
          <w:szCs w:val="24"/>
        </w:rPr>
        <w:t>, cuál es su nivel jerárquico y qué porcentaje del Presupuesto General del Estado recibe</w:t>
      </w:r>
      <w:r w:rsidR="002B0592" w:rsidRPr="00CB76D8">
        <w:rPr>
          <w:sz w:val="24"/>
          <w:szCs w:val="24"/>
        </w:rPr>
        <w:t>?</w:t>
      </w:r>
    </w:p>
    <w:p w14:paraId="639A65E2" w14:textId="08963D24" w:rsidR="004C2B48" w:rsidRPr="00CB76D8" w:rsidRDefault="004C2B48" w:rsidP="00EB0011">
      <w:pPr>
        <w:pStyle w:val="Prrafodelista"/>
        <w:numPr>
          <w:ilvl w:val="0"/>
          <w:numId w:val="1"/>
        </w:numPr>
        <w:jc w:val="both"/>
        <w:rPr>
          <w:sz w:val="24"/>
          <w:szCs w:val="24"/>
        </w:rPr>
      </w:pPr>
      <w:r w:rsidRPr="00CB76D8">
        <w:rPr>
          <w:sz w:val="24"/>
          <w:szCs w:val="24"/>
        </w:rPr>
        <w:t xml:space="preserve">Se ha informado que a efectos del seguimiento se establecieron los Consejos de Coordinación </w:t>
      </w:r>
      <w:r w:rsidR="00BC7778" w:rsidRPr="00CB76D8">
        <w:rPr>
          <w:sz w:val="24"/>
          <w:szCs w:val="24"/>
        </w:rPr>
        <w:t xml:space="preserve">(párrafo 15 del informe) </w:t>
      </w:r>
      <w:r w:rsidRPr="00CB76D8">
        <w:rPr>
          <w:sz w:val="24"/>
          <w:szCs w:val="24"/>
        </w:rPr>
        <w:t>para promover políticas públicas en todas las áreas ¿de qué manera participa la sociedad civil en estos mecanismos, incluidas las org</w:t>
      </w:r>
      <w:r w:rsidR="0064158C" w:rsidRPr="00CB76D8">
        <w:rPr>
          <w:sz w:val="24"/>
          <w:szCs w:val="24"/>
        </w:rPr>
        <w:t>anizaciones no gubernamentales?</w:t>
      </w:r>
    </w:p>
    <w:p w14:paraId="35436FAF" w14:textId="2305DB23" w:rsidR="00ED0BCE" w:rsidRPr="00CB76D8" w:rsidRDefault="00FD2D2F" w:rsidP="00EB0011">
      <w:pPr>
        <w:pStyle w:val="Prrafodelista"/>
        <w:numPr>
          <w:ilvl w:val="0"/>
          <w:numId w:val="1"/>
        </w:numPr>
        <w:jc w:val="both"/>
        <w:rPr>
          <w:sz w:val="24"/>
          <w:szCs w:val="24"/>
        </w:rPr>
      </w:pPr>
      <w:r w:rsidRPr="00CB76D8">
        <w:rPr>
          <w:sz w:val="24"/>
          <w:szCs w:val="24"/>
        </w:rPr>
        <w:t>¿Qué resultados se lograron con el trabajo de la Comisión Interinstitucional conformada por ocho ministerios y responsable de la implementación de la Política Pública Integral para una Vida Digna de las Mujeres Bolivianas, creada medi</w:t>
      </w:r>
      <w:r w:rsidR="00920124" w:rsidRPr="00CB76D8">
        <w:rPr>
          <w:sz w:val="24"/>
          <w:szCs w:val="24"/>
        </w:rPr>
        <w:t xml:space="preserve">ante Decreto Supremo No. </w:t>
      </w:r>
      <w:r w:rsidR="0064158C" w:rsidRPr="00CB76D8">
        <w:rPr>
          <w:sz w:val="24"/>
          <w:szCs w:val="24"/>
        </w:rPr>
        <w:t>3106</w:t>
      </w:r>
      <w:r w:rsidR="00BC7778" w:rsidRPr="00CB76D8">
        <w:rPr>
          <w:sz w:val="24"/>
          <w:szCs w:val="24"/>
        </w:rPr>
        <w:t xml:space="preserve">, mencionada en los párrafos </w:t>
      </w:r>
      <w:r w:rsidR="009F5583" w:rsidRPr="00CB76D8">
        <w:rPr>
          <w:sz w:val="24"/>
          <w:szCs w:val="24"/>
        </w:rPr>
        <w:t>38 y 39 del informe del Estado P</w:t>
      </w:r>
      <w:r w:rsidR="00BC7778" w:rsidRPr="00CB76D8">
        <w:rPr>
          <w:sz w:val="24"/>
          <w:szCs w:val="24"/>
        </w:rPr>
        <w:t>arte</w:t>
      </w:r>
      <w:r w:rsidR="0064158C" w:rsidRPr="00CB76D8">
        <w:rPr>
          <w:sz w:val="24"/>
          <w:szCs w:val="24"/>
        </w:rPr>
        <w:t>?</w:t>
      </w:r>
    </w:p>
    <w:p w14:paraId="77206B95" w14:textId="77777777" w:rsidR="004C7173" w:rsidRPr="00CB76D8" w:rsidRDefault="004C7173" w:rsidP="00D06A1A">
      <w:pPr>
        <w:jc w:val="both"/>
        <w:rPr>
          <w:b/>
          <w:sz w:val="24"/>
          <w:szCs w:val="24"/>
        </w:rPr>
      </w:pPr>
      <w:r w:rsidRPr="00CB76D8">
        <w:rPr>
          <w:b/>
          <w:sz w:val="24"/>
          <w:szCs w:val="24"/>
        </w:rPr>
        <w:t>ESTEREOTIPOS Y PRÁCTICAS DISCRIMINATORIAS</w:t>
      </w:r>
      <w:r w:rsidR="003258AD" w:rsidRPr="00CB76D8">
        <w:rPr>
          <w:b/>
          <w:sz w:val="24"/>
          <w:szCs w:val="24"/>
        </w:rPr>
        <w:t xml:space="preserve"> (Artículo 5 de la CEDAW)</w:t>
      </w:r>
    </w:p>
    <w:p w14:paraId="31CC1942" w14:textId="77777777" w:rsidR="000821EB" w:rsidRPr="00CB76D8" w:rsidRDefault="000821EB" w:rsidP="00BB5732">
      <w:pPr>
        <w:pStyle w:val="Prrafodelista"/>
        <w:numPr>
          <w:ilvl w:val="0"/>
          <w:numId w:val="9"/>
        </w:numPr>
        <w:jc w:val="both"/>
        <w:rPr>
          <w:sz w:val="24"/>
          <w:szCs w:val="24"/>
        </w:rPr>
      </w:pPr>
      <w:r w:rsidRPr="00CB76D8">
        <w:rPr>
          <w:sz w:val="24"/>
          <w:szCs w:val="24"/>
        </w:rPr>
        <w:t xml:space="preserve">El </w:t>
      </w:r>
      <w:r w:rsidR="006552BF" w:rsidRPr="00CB76D8">
        <w:rPr>
          <w:sz w:val="24"/>
          <w:szCs w:val="24"/>
        </w:rPr>
        <w:t>Estado Parte</w:t>
      </w:r>
      <w:r w:rsidRPr="00CB76D8">
        <w:rPr>
          <w:sz w:val="24"/>
          <w:szCs w:val="24"/>
        </w:rPr>
        <w:t xml:space="preserve"> informa que el Consejo Permanente del Comité Nacional contra el Racismo y toda Forma de Discriminación aprobó el Plan Multisectorial del </w:t>
      </w:r>
      <w:r w:rsidR="006552BF" w:rsidRPr="00CB76D8">
        <w:rPr>
          <w:sz w:val="24"/>
          <w:szCs w:val="24"/>
        </w:rPr>
        <w:t>Estado Parte</w:t>
      </w:r>
      <w:r w:rsidRPr="00CB76D8">
        <w:rPr>
          <w:sz w:val="24"/>
          <w:szCs w:val="24"/>
        </w:rPr>
        <w:t xml:space="preserve"> Plurinacional de Bolivia contra el Racismo y toda forma de Discriminación 2016-2020, que tiene como objetivo mejorar la calidad de vida de poblaciones vulneradas, acorde al Plan de Desarrollo Económico y Social y la Agenda Patriótica 2025.</w:t>
      </w:r>
    </w:p>
    <w:p w14:paraId="3EC48988" w14:textId="7EEF2A51" w:rsidR="00AB245A" w:rsidRPr="00CB76D8" w:rsidRDefault="00AB245A" w:rsidP="00BB5732">
      <w:pPr>
        <w:pStyle w:val="Prrafodelista"/>
        <w:numPr>
          <w:ilvl w:val="0"/>
          <w:numId w:val="9"/>
        </w:numPr>
        <w:autoSpaceDE w:val="0"/>
        <w:autoSpaceDN w:val="0"/>
        <w:adjustRightInd w:val="0"/>
        <w:spacing w:after="0"/>
        <w:jc w:val="both"/>
        <w:rPr>
          <w:rFonts w:cs="TwCenMT-Regular"/>
          <w:color w:val="241F1F"/>
          <w:sz w:val="24"/>
          <w:szCs w:val="24"/>
        </w:rPr>
      </w:pPr>
      <w:r w:rsidRPr="00CB76D8">
        <w:rPr>
          <w:rFonts w:cs="TwCenMT-Regular"/>
          <w:color w:val="241F1F"/>
          <w:sz w:val="24"/>
          <w:szCs w:val="24"/>
        </w:rPr>
        <w:t xml:space="preserve">Según los datos de </w:t>
      </w:r>
      <w:r w:rsidR="0023300E" w:rsidRPr="00CB76D8">
        <w:rPr>
          <w:rFonts w:cs="TwCenMT-Regular"/>
          <w:color w:val="241F1F"/>
          <w:sz w:val="24"/>
          <w:szCs w:val="24"/>
        </w:rPr>
        <w:t xml:space="preserve">la Encuesta Mundial de Valores </w:t>
      </w:r>
      <w:r w:rsidRPr="00CB76D8">
        <w:rPr>
          <w:rFonts w:cs="TwCenMT-Regular"/>
          <w:color w:val="241F1F"/>
          <w:sz w:val="24"/>
          <w:szCs w:val="24"/>
        </w:rPr>
        <w:t>(2017) se destacan actitudes potencialmente intolerantes entre los creyentes religiosos respecto a otros cultos. En Bolivia el 54% no admite otra creencia religiosa aceptable que no sea la suya, en relación al promedio mundial del 51,7%, la sociedad Bolivia puede considerarse intolerante (Ciudadanía, 2017).</w:t>
      </w:r>
    </w:p>
    <w:p w14:paraId="5E0A9E67" w14:textId="6A4A364D" w:rsidR="00283A93" w:rsidRPr="00CB76D8" w:rsidRDefault="00283A93" w:rsidP="00BB5732">
      <w:pPr>
        <w:pStyle w:val="Prrafodelista"/>
        <w:numPr>
          <w:ilvl w:val="0"/>
          <w:numId w:val="9"/>
        </w:numPr>
        <w:autoSpaceDE w:val="0"/>
        <w:autoSpaceDN w:val="0"/>
        <w:adjustRightInd w:val="0"/>
        <w:spacing w:after="0"/>
        <w:jc w:val="both"/>
        <w:rPr>
          <w:sz w:val="24"/>
          <w:szCs w:val="24"/>
        </w:rPr>
      </w:pPr>
      <w:r w:rsidRPr="00CB76D8">
        <w:rPr>
          <w:rFonts w:cstheme="minorHAnsi"/>
          <w:color w:val="000000" w:themeColor="text1"/>
          <w:sz w:val="24"/>
          <w:szCs w:val="24"/>
        </w:rPr>
        <w:t>Existen</w:t>
      </w:r>
      <w:r w:rsidRPr="00CB76D8">
        <w:rPr>
          <w:sz w:val="24"/>
          <w:szCs w:val="24"/>
        </w:rPr>
        <w:t xml:space="preserve"> ataques permanentes a los derechos conquistados por las mujeres provenientes de grupos anti derechos</w:t>
      </w:r>
      <w:r w:rsidR="0023300E" w:rsidRPr="00CB76D8">
        <w:rPr>
          <w:sz w:val="24"/>
          <w:szCs w:val="24"/>
        </w:rPr>
        <w:t>,</w:t>
      </w:r>
      <w:r w:rsidRPr="00CB76D8">
        <w:rPr>
          <w:sz w:val="24"/>
          <w:szCs w:val="24"/>
        </w:rPr>
        <w:t xml:space="preserve"> fundamentalistas y conservadores, que manejan el discurso de </w:t>
      </w:r>
      <w:r w:rsidRPr="00CB76D8">
        <w:rPr>
          <w:sz w:val="24"/>
          <w:szCs w:val="24"/>
        </w:rPr>
        <w:lastRenderedPageBreak/>
        <w:t>la existencia de una supuesta “ideología de género” que iría en contra de los valores sociales y morales tergiversando totalmente las cuestione</w:t>
      </w:r>
      <w:r w:rsidR="0023300E" w:rsidRPr="00CB76D8">
        <w:rPr>
          <w:sz w:val="24"/>
          <w:szCs w:val="24"/>
        </w:rPr>
        <w:t xml:space="preserve">s de género y estigmatizando </w:t>
      </w:r>
      <w:r w:rsidRPr="00CB76D8">
        <w:rPr>
          <w:sz w:val="24"/>
          <w:szCs w:val="24"/>
        </w:rPr>
        <w:t>tanto al movimiento feminista como a las p</w:t>
      </w:r>
      <w:r w:rsidR="0023300E" w:rsidRPr="00CB76D8">
        <w:rPr>
          <w:sz w:val="24"/>
          <w:szCs w:val="24"/>
        </w:rPr>
        <w:t xml:space="preserve">ersonas LGBTI, lo que alienta </w:t>
      </w:r>
      <w:r w:rsidRPr="00CB76D8">
        <w:rPr>
          <w:sz w:val="24"/>
          <w:szCs w:val="24"/>
        </w:rPr>
        <w:t>la discriminación y la violencia hacia ellas</w:t>
      </w:r>
      <w:r w:rsidR="009F5583" w:rsidRPr="00CB76D8">
        <w:rPr>
          <w:rStyle w:val="Refdenotaalpie"/>
          <w:sz w:val="24"/>
          <w:szCs w:val="24"/>
        </w:rPr>
        <w:footnoteReference w:id="7"/>
      </w:r>
      <w:r w:rsidRPr="00CB76D8">
        <w:rPr>
          <w:sz w:val="24"/>
          <w:szCs w:val="24"/>
        </w:rPr>
        <w:t>.</w:t>
      </w:r>
    </w:p>
    <w:p w14:paraId="3A11DBE7" w14:textId="1A1C807A" w:rsidR="00B91675" w:rsidRPr="00CB76D8" w:rsidRDefault="00B91675" w:rsidP="00BB5732">
      <w:pPr>
        <w:pStyle w:val="Prrafodelista"/>
        <w:numPr>
          <w:ilvl w:val="0"/>
          <w:numId w:val="9"/>
        </w:numPr>
        <w:spacing w:before="120" w:after="0"/>
        <w:jc w:val="both"/>
        <w:rPr>
          <w:sz w:val="24"/>
          <w:szCs w:val="24"/>
        </w:rPr>
      </w:pPr>
      <w:r w:rsidRPr="00CB76D8">
        <w:rPr>
          <w:sz w:val="24"/>
          <w:szCs w:val="24"/>
        </w:rPr>
        <w:t xml:space="preserve">La Ley de Régimen Electoral </w:t>
      </w:r>
      <w:r w:rsidR="009537DE" w:rsidRPr="00CB76D8">
        <w:rPr>
          <w:sz w:val="24"/>
          <w:szCs w:val="24"/>
        </w:rPr>
        <w:t xml:space="preserve">prohíbe </w:t>
      </w:r>
      <w:r w:rsidRPr="00CB76D8">
        <w:rPr>
          <w:sz w:val="24"/>
          <w:szCs w:val="24"/>
        </w:rPr>
        <w:t>la propaganda electoral, tanto en actos públicos de campaña como a través de medios de comunicación, que utilice de manera directa o indirecta símbolos y/o referencias religiosas d</w:t>
      </w:r>
      <w:r w:rsidR="00265DAB" w:rsidRPr="00CB76D8">
        <w:rPr>
          <w:sz w:val="24"/>
          <w:szCs w:val="24"/>
        </w:rPr>
        <w:t xml:space="preserve">e cualquier naturaleza o credo que </w:t>
      </w:r>
      <w:r w:rsidRPr="00CB76D8">
        <w:rPr>
          <w:sz w:val="24"/>
          <w:szCs w:val="24"/>
        </w:rPr>
        <w:t xml:space="preserve"> promueva</w:t>
      </w:r>
      <w:r w:rsidR="00265DAB" w:rsidRPr="00CB76D8">
        <w:rPr>
          <w:sz w:val="24"/>
          <w:szCs w:val="24"/>
        </w:rPr>
        <w:t>n</w:t>
      </w:r>
      <w:r w:rsidRPr="00CB76D8">
        <w:rPr>
          <w:sz w:val="24"/>
          <w:szCs w:val="24"/>
        </w:rPr>
        <w:t xml:space="preserve"> de manera directa o indirecta la violencia, la discriminación y la intolerancia de cualquier tipo, sin embargo, en las elecciones nacionales varios candidatos de sectores conservadores realizaron declaraciones contrarias a los derechos de las personas LGBTI, con sesgos de género y planteando francos retrocesos en materia de derechos sexuales y derechos reproductivos.</w:t>
      </w:r>
    </w:p>
    <w:p w14:paraId="31BD9E0C" w14:textId="67B3D056" w:rsidR="00283A93" w:rsidRPr="00CB76D8" w:rsidRDefault="00283A93" w:rsidP="00D06A1A">
      <w:pPr>
        <w:autoSpaceDE w:val="0"/>
        <w:autoSpaceDN w:val="0"/>
        <w:adjustRightInd w:val="0"/>
        <w:spacing w:after="0"/>
        <w:jc w:val="both"/>
        <w:rPr>
          <w:rFonts w:cs="TwCenMT-Regular"/>
          <w:color w:val="241F1F"/>
          <w:sz w:val="24"/>
          <w:szCs w:val="24"/>
        </w:rPr>
      </w:pPr>
    </w:p>
    <w:p w14:paraId="52650741" w14:textId="77777777" w:rsidR="004C7173" w:rsidRPr="00CB76D8" w:rsidRDefault="004C7173" w:rsidP="00D06A1A">
      <w:pPr>
        <w:jc w:val="both"/>
        <w:rPr>
          <w:b/>
          <w:i/>
          <w:sz w:val="24"/>
          <w:szCs w:val="24"/>
        </w:rPr>
      </w:pPr>
      <w:r w:rsidRPr="00CB76D8">
        <w:rPr>
          <w:rFonts w:cs="Calibri"/>
          <w:b/>
          <w:i/>
          <w:color w:val="000000"/>
          <w:sz w:val="24"/>
          <w:szCs w:val="24"/>
        </w:rPr>
        <w:t>Sugerencias de cuestiones:</w:t>
      </w:r>
    </w:p>
    <w:p w14:paraId="08D41ABD" w14:textId="1408E18A" w:rsidR="000821EB" w:rsidRPr="00CB76D8" w:rsidRDefault="000821EB" w:rsidP="00EB0011">
      <w:pPr>
        <w:pStyle w:val="Prrafodelista"/>
        <w:numPr>
          <w:ilvl w:val="0"/>
          <w:numId w:val="5"/>
        </w:numPr>
        <w:jc w:val="both"/>
        <w:rPr>
          <w:sz w:val="24"/>
          <w:szCs w:val="24"/>
        </w:rPr>
      </w:pPr>
      <w:r w:rsidRPr="00CB76D8">
        <w:rPr>
          <w:sz w:val="24"/>
          <w:szCs w:val="24"/>
        </w:rPr>
        <w:t xml:space="preserve">¿Cuáles son los principales resultados alcanzados en la implementación del Plan Multisectorial del </w:t>
      </w:r>
      <w:r w:rsidR="006552BF" w:rsidRPr="00CB76D8">
        <w:rPr>
          <w:sz w:val="24"/>
          <w:szCs w:val="24"/>
        </w:rPr>
        <w:t>Estado Parte</w:t>
      </w:r>
      <w:r w:rsidRPr="00CB76D8">
        <w:rPr>
          <w:sz w:val="24"/>
          <w:szCs w:val="24"/>
        </w:rPr>
        <w:t xml:space="preserve"> Plurinacional de Bolivia contra el Racismo y toda for</w:t>
      </w:r>
      <w:r w:rsidR="0023300E" w:rsidRPr="00CB76D8">
        <w:rPr>
          <w:sz w:val="24"/>
          <w:szCs w:val="24"/>
        </w:rPr>
        <w:t>ma de Discriminación 2016-2020</w:t>
      </w:r>
      <w:r w:rsidR="00BC7778" w:rsidRPr="00CB76D8">
        <w:rPr>
          <w:sz w:val="24"/>
          <w:szCs w:val="24"/>
        </w:rPr>
        <w:t>, señalado en el párrafo 63 de su informe</w:t>
      </w:r>
      <w:r w:rsidR="0023300E" w:rsidRPr="00CB76D8">
        <w:rPr>
          <w:sz w:val="24"/>
          <w:szCs w:val="24"/>
        </w:rPr>
        <w:t>?</w:t>
      </w:r>
      <w:r w:rsidR="00CB76D8" w:rsidRPr="00CB76D8">
        <w:rPr>
          <w:sz w:val="24"/>
          <w:szCs w:val="24"/>
        </w:rPr>
        <w:t>.</w:t>
      </w:r>
    </w:p>
    <w:p w14:paraId="4C127B22" w14:textId="5162BD14" w:rsidR="001C0190" w:rsidRPr="00CB76D8" w:rsidRDefault="001C0190" w:rsidP="00EB0011">
      <w:pPr>
        <w:pStyle w:val="Prrafodelista"/>
        <w:numPr>
          <w:ilvl w:val="0"/>
          <w:numId w:val="5"/>
        </w:numPr>
        <w:jc w:val="both"/>
        <w:rPr>
          <w:sz w:val="24"/>
          <w:szCs w:val="24"/>
        </w:rPr>
      </w:pPr>
      <w:r w:rsidRPr="00CB76D8">
        <w:rPr>
          <w:sz w:val="24"/>
          <w:szCs w:val="24"/>
        </w:rPr>
        <w:t xml:space="preserve">¿Qué acciones ha emprendido </w:t>
      </w:r>
      <w:r w:rsidR="00EE15CD" w:rsidRPr="00CB76D8">
        <w:rPr>
          <w:sz w:val="24"/>
          <w:szCs w:val="24"/>
        </w:rPr>
        <w:t xml:space="preserve">el Ministerio de Educación y las </w:t>
      </w:r>
      <w:r w:rsidR="00C4748E" w:rsidRPr="00CB76D8">
        <w:rPr>
          <w:sz w:val="24"/>
          <w:szCs w:val="24"/>
        </w:rPr>
        <w:t>políticas educativas para potenciar el trabajo de despatriarcalización y cambio de patrones socioculturales discriminatorios y machistas en todo el sistema educativo</w:t>
      </w:r>
      <w:r w:rsidRPr="00CB76D8">
        <w:rPr>
          <w:sz w:val="24"/>
          <w:szCs w:val="24"/>
        </w:rPr>
        <w:t>?</w:t>
      </w:r>
    </w:p>
    <w:p w14:paraId="6D2A7478" w14:textId="3E6D0967" w:rsidR="001C0190" w:rsidRPr="00CB76D8" w:rsidRDefault="001C0190" w:rsidP="00EB0011">
      <w:pPr>
        <w:pStyle w:val="Prrafodelista"/>
        <w:numPr>
          <w:ilvl w:val="0"/>
          <w:numId w:val="5"/>
        </w:numPr>
        <w:jc w:val="both"/>
        <w:rPr>
          <w:sz w:val="24"/>
          <w:szCs w:val="24"/>
        </w:rPr>
      </w:pPr>
      <w:r w:rsidRPr="00CB76D8">
        <w:rPr>
          <w:rFonts w:cstheme="minorHAnsi"/>
          <w:bCs/>
          <w:sz w:val="24"/>
          <w:szCs w:val="24"/>
          <w:lang w:val="es-CO"/>
        </w:rPr>
        <w:t xml:space="preserve">¿Cómo determina el </w:t>
      </w:r>
      <w:r w:rsidR="006552BF" w:rsidRPr="00CB76D8">
        <w:rPr>
          <w:rFonts w:cstheme="minorHAnsi"/>
          <w:bCs/>
          <w:sz w:val="24"/>
          <w:szCs w:val="24"/>
          <w:lang w:val="es-CO"/>
        </w:rPr>
        <w:t>Estado Parte</w:t>
      </w:r>
      <w:r w:rsidRPr="00CB76D8">
        <w:rPr>
          <w:rFonts w:cstheme="minorHAnsi"/>
          <w:bCs/>
          <w:sz w:val="24"/>
          <w:szCs w:val="24"/>
          <w:lang w:val="es-CO"/>
        </w:rPr>
        <w:t xml:space="preserve"> los recursos que se asignan para la implementación de la Ley </w:t>
      </w:r>
      <w:r w:rsidR="00DE3C6C" w:rsidRPr="00CB76D8">
        <w:rPr>
          <w:rFonts w:cstheme="minorHAnsi"/>
          <w:bCs/>
          <w:sz w:val="24"/>
          <w:szCs w:val="24"/>
          <w:lang w:val="es-CO"/>
        </w:rPr>
        <w:t xml:space="preserve">No. </w:t>
      </w:r>
      <w:r w:rsidRPr="00CB76D8">
        <w:rPr>
          <w:rFonts w:cstheme="minorHAnsi"/>
          <w:bCs/>
          <w:sz w:val="24"/>
          <w:szCs w:val="24"/>
          <w:lang w:val="es-CO"/>
        </w:rPr>
        <w:t xml:space="preserve">045? ¿Cómo evalúa el </w:t>
      </w:r>
      <w:r w:rsidR="006552BF" w:rsidRPr="00CB76D8">
        <w:rPr>
          <w:rFonts w:cstheme="minorHAnsi"/>
          <w:bCs/>
          <w:sz w:val="24"/>
          <w:szCs w:val="24"/>
          <w:lang w:val="es-CO"/>
        </w:rPr>
        <w:t>Estado Parte</w:t>
      </w:r>
      <w:r w:rsidRPr="00CB76D8">
        <w:rPr>
          <w:rFonts w:cstheme="minorHAnsi"/>
          <w:bCs/>
          <w:sz w:val="24"/>
          <w:szCs w:val="24"/>
          <w:lang w:val="es-CO"/>
        </w:rPr>
        <w:t xml:space="preserve"> la suficiencia de dichos recursos? ¿Qué mecanismos, si existe alguno, tiene el </w:t>
      </w:r>
      <w:r w:rsidR="006552BF" w:rsidRPr="00CB76D8">
        <w:rPr>
          <w:rFonts w:cstheme="minorHAnsi"/>
          <w:bCs/>
          <w:sz w:val="24"/>
          <w:szCs w:val="24"/>
          <w:lang w:val="es-CO"/>
        </w:rPr>
        <w:t>Estado Parte</w:t>
      </w:r>
      <w:r w:rsidR="003E0001" w:rsidRPr="00CB76D8">
        <w:rPr>
          <w:rFonts w:cstheme="minorHAnsi"/>
          <w:bCs/>
          <w:sz w:val="24"/>
          <w:szCs w:val="24"/>
          <w:lang w:val="es-CO"/>
        </w:rPr>
        <w:t xml:space="preserve"> </w:t>
      </w:r>
      <w:r w:rsidRPr="00CB76D8">
        <w:rPr>
          <w:rFonts w:cstheme="minorHAnsi"/>
          <w:bCs/>
          <w:sz w:val="24"/>
          <w:szCs w:val="24"/>
          <w:lang w:val="es-CO"/>
        </w:rPr>
        <w:t>para monitorear si los recursos han sid</w:t>
      </w:r>
      <w:r w:rsidR="0023300E" w:rsidRPr="00CB76D8">
        <w:rPr>
          <w:rFonts w:cstheme="minorHAnsi"/>
          <w:bCs/>
          <w:sz w:val="24"/>
          <w:szCs w:val="24"/>
          <w:lang w:val="es-CO"/>
        </w:rPr>
        <w:t>o empleados de manera adecuada?</w:t>
      </w:r>
      <w:r w:rsidR="00CB76D8" w:rsidRPr="00CB76D8">
        <w:rPr>
          <w:rFonts w:cstheme="minorHAnsi"/>
          <w:bCs/>
          <w:sz w:val="24"/>
          <w:szCs w:val="24"/>
          <w:lang w:val="es-CO"/>
        </w:rPr>
        <w:t>.</w:t>
      </w:r>
    </w:p>
    <w:p w14:paraId="10C2FEE8" w14:textId="6306B98A" w:rsidR="001C0190" w:rsidRPr="00CB76D8" w:rsidRDefault="001C0190" w:rsidP="00EB0011">
      <w:pPr>
        <w:pStyle w:val="Prrafodelista"/>
        <w:numPr>
          <w:ilvl w:val="0"/>
          <w:numId w:val="5"/>
        </w:numPr>
        <w:jc w:val="both"/>
        <w:rPr>
          <w:sz w:val="24"/>
          <w:szCs w:val="24"/>
        </w:rPr>
      </w:pPr>
      <w:r w:rsidRPr="00CB76D8">
        <w:rPr>
          <w:sz w:val="24"/>
          <w:szCs w:val="24"/>
        </w:rPr>
        <w:t xml:space="preserve">¿Qué espacios de </w:t>
      </w:r>
      <w:r w:rsidR="004C2B48" w:rsidRPr="00CB76D8">
        <w:rPr>
          <w:sz w:val="24"/>
          <w:szCs w:val="24"/>
        </w:rPr>
        <w:t>d</w:t>
      </w:r>
      <w:r w:rsidR="0023300E" w:rsidRPr="00CB76D8">
        <w:rPr>
          <w:sz w:val="24"/>
          <w:szCs w:val="24"/>
        </w:rPr>
        <w:t>iálogo intercultural sustancial</w:t>
      </w:r>
      <w:r w:rsidR="004C2B48" w:rsidRPr="00CB76D8">
        <w:rPr>
          <w:sz w:val="24"/>
          <w:szCs w:val="24"/>
        </w:rPr>
        <w:t xml:space="preserve"> </w:t>
      </w:r>
      <w:r w:rsidRPr="00CB76D8">
        <w:rPr>
          <w:sz w:val="24"/>
          <w:szCs w:val="24"/>
        </w:rPr>
        <w:t xml:space="preserve">se han promovido para </w:t>
      </w:r>
      <w:r w:rsidR="004C2B48" w:rsidRPr="00CB76D8">
        <w:rPr>
          <w:sz w:val="24"/>
          <w:szCs w:val="24"/>
        </w:rPr>
        <w:t>que los derechos de las mujeres indígenas sean respetados en todos los procesos de adopción de decisiones relacionados con las leyes y prácticas consuetudinarias nocivas que afectan a las mujeres</w:t>
      </w:r>
      <w:r w:rsidR="0023300E" w:rsidRPr="00CB76D8">
        <w:rPr>
          <w:sz w:val="24"/>
          <w:szCs w:val="24"/>
        </w:rPr>
        <w:t>?</w:t>
      </w:r>
      <w:r w:rsidR="00CB76D8" w:rsidRPr="00CB76D8">
        <w:rPr>
          <w:sz w:val="24"/>
          <w:szCs w:val="24"/>
        </w:rPr>
        <w:t>.</w:t>
      </w:r>
    </w:p>
    <w:p w14:paraId="23B9BF8F" w14:textId="344D530F" w:rsidR="004C2B48" w:rsidRPr="00CB76D8" w:rsidRDefault="001C0190" w:rsidP="00EB0011">
      <w:pPr>
        <w:pStyle w:val="Prrafodelista"/>
        <w:numPr>
          <w:ilvl w:val="0"/>
          <w:numId w:val="5"/>
        </w:numPr>
        <w:jc w:val="both"/>
        <w:rPr>
          <w:sz w:val="24"/>
          <w:szCs w:val="24"/>
        </w:rPr>
      </w:pPr>
      <w:r w:rsidRPr="00CB76D8">
        <w:rPr>
          <w:sz w:val="24"/>
          <w:szCs w:val="24"/>
        </w:rPr>
        <w:t xml:space="preserve">¿Cuánto ha avanzado el </w:t>
      </w:r>
      <w:r w:rsidR="006552BF" w:rsidRPr="00CB76D8">
        <w:rPr>
          <w:sz w:val="24"/>
          <w:szCs w:val="24"/>
        </w:rPr>
        <w:t>Estado Parte</w:t>
      </w:r>
      <w:r w:rsidRPr="00CB76D8">
        <w:rPr>
          <w:sz w:val="24"/>
          <w:szCs w:val="24"/>
        </w:rPr>
        <w:t xml:space="preserve"> en la construcción de una </w:t>
      </w:r>
      <w:r w:rsidR="004C2B48" w:rsidRPr="00CB76D8">
        <w:rPr>
          <w:sz w:val="24"/>
          <w:szCs w:val="24"/>
        </w:rPr>
        <w:t>estrategia encamin</w:t>
      </w:r>
      <w:r w:rsidR="00061468" w:rsidRPr="00CB76D8">
        <w:rPr>
          <w:sz w:val="24"/>
          <w:szCs w:val="24"/>
        </w:rPr>
        <w:t xml:space="preserve">ada a crear conciencia sobre </w:t>
      </w:r>
      <w:r w:rsidR="004C2B48" w:rsidRPr="00CB76D8">
        <w:rPr>
          <w:sz w:val="24"/>
          <w:szCs w:val="24"/>
        </w:rPr>
        <w:t>género entre los trabajadores de los medios de comunicación públicos y privados a fin de evitar los estereotipos de género en los medios y en los anuncios publicitarios</w:t>
      </w:r>
      <w:r w:rsidR="0023300E" w:rsidRPr="00CB76D8">
        <w:rPr>
          <w:sz w:val="24"/>
          <w:szCs w:val="24"/>
        </w:rPr>
        <w:t>?</w:t>
      </w:r>
      <w:r w:rsidR="00CB76D8" w:rsidRPr="00CB76D8">
        <w:rPr>
          <w:sz w:val="24"/>
          <w:szCs w:val="24"/>
        </w:rPr>
        <w:t>.</w:t>
      </w:r>
    </w:p>
    <w:p w14:paraId="381AB192" w14:textId="1ACFE33D" w:rsidR="009B6439" w:rsidRPr="00CB76D8" w:rsidRDefault="0023300E" w:rsidP="00061468">
      <w:pPr>
        <w:pStyle w:val="Prrafodelista"/>
        <w:numPr>
          <w:ilvl w:val="0"/>
          <w:numId w:val="5"/>
        </w:numPr>
        <w:spacing w:before="120" w:after="0"/>
        <w:jc w:val="both"/>
        <w:rPr>
          <w:rFonts w:cstheme="minorHAnsi"/>
          <w:sz w:val="24"/>
          <w:szCs w:val="24"/>
          <w:shd w:val="clear" w:color="auto" w:fill="FFFFFF"/>
        </w:rPr>
      </w:pPr>
      <w:r w:rsidRPr="00CB76D8">
        <w:rPr>
          <w:sz w:val="24"/>
          <w:szCs w:val="24"/>
        </w:rPr>
        <w:lastRenderedPageBreak/>
        <w:t xml:space="preserve">¿De qué manera se </w:t>
      </w:r>
      <w:r w:rsidR="00283A93" w:rsidRPr="00CB76D8">
        <w:rPr>
          <w:sz w:val="24"/>
          <w:szCs w:val="24"/>
        </w:rPr>
        <w:t xml:space="preserve">promueve el carácter laico del </w:t>
      </w:r>
      <w:r w:rsidR="006552BF" w:rsidRPr="00CB76D8">
        <w:rPr>
          <w:sz w:val="24"/>
          <w:szCs w:val="24"/>
        </w:rPr>
        <w:t>Estado Parte</w:t>
      </w:r>
      <w:r w:rsidR="00283A93" w:rsidRPr="00CB76D8">
        <w:rPr>
          <w:sz w:val="24"/>
          <w:szCs w:val="24"/>
        </w:rPr>
        <w:t xml:space="preserve"> </w:t>
      </w:r>
      <w:r w:rsidR="00061468" w:rsidRPr="00CB76D8">
        <w:rPr>
          <w:sz w:val="24"/>
          <w:szCs w:val="24"/>
        </w:rPr>
        <w:t xml:space="preserve">(Art. 4 de la Constitución Política del Estado) </w:t>
      </w:r>
      <w:r w:rsidR="00283A93" w:rsidRPr="00CB76D8">
        <w:rPr>
          <w:sz w:val="24"/>
          <w:szCs w:val="24"/>
        </w:rPr>
        <w:t>generador de una convivencia pacífica</w:t>
      </w:r>
      <w:r w:rsidRPr="00CB76D8">
        <w:rPr>
          <w:sz w:val="24"/>
          <w:szCs w:val="24"/>
        </w:rPr>
        <w:t>,</w:t>
      </w:r>
      <w:r w:rsidR="00283A93" w:rsidRPr="00CB76D8">
        <w:rPr>
          <w:sz w:val="24"/>
          <w:szCs w:val="24"/>
        </w:rPr>
        <w:t xml:space="preserve"> y </w:t>
      </w:r>
      <w:r w:rsidRPr="00CB76D8">
        <w:rPr>
          <w:sz w:val="24"/>
          <w:szCs w:val="24"/>
        </w:rPr>
        <w:t xml:space="preserve">se </w:t>
      </w:r>
      <w:r w:rsidR="00283A93" w:rsidRPr="00CB76D8">
        <w:rPr>
          <w:sz w:val="24"/>
          <w:szCs w:val="24"/>
        </w:rPr>
        <w:t>previene que las instituciones públicas utilice</w:t>
      </w:r>
      <w:r w:rsidRPr="00CB76D8">
        <w:rPr>
          <w:sz w:val="24"/>
          <w:szCs w:val="24"/>
        </w:rPr>
        <w:t>n</w:t>
      </w:r>
      <w:r w:rsidR="00283A93" w:rsidRPr="00CB76D8">
        <w:rPr>
          <w:sz w:val="24"/>
          <w:szCs w:val="24"/>
        </w:rPr>
        <w:t xml:space="preserve"> criterios y</w:t>
      </w:r>
      <w:r w:rsidRPr="00CB76D8">
        <w:rPr>
          <w:sz w:val="24"/>
          <w:szCs w:val="24"/>
        </w:rPr>
        <w:t xml:space="preserve"> preceptos</w:t>
      </w:r>
      <w:r w:rsidR="00283A93" w:rsidRPr="00CB76D8">
        <w:rPr>
          <w:sz w:val="24"/>
          <w:szCs w:val="24"/>
        </w:rPr>
        <w:t xml:space="preserve"> r</w:t>
      </w:r>
      <w:r w:rsidRPr="00CB76D8">
        <w:rPr>
          <w:sz w:val="24"/>
          <w:szCs w:val="24"/>
        </w:rPr>
        <w:t>eligiosos para la elaboración</w:t>
      </w:r>
      <w:r w:rsidR="00283A93" w:rsidRPr="00CB76D8">
        <w:rPr>
          <w:sz w:val="24"/>
          <w:szCs w:val="24"/>
        </w:rPr>
        <w:t xml:space="preserve"> y aplicación de políticas públicas, en especial cuando con</w:t>
      </w:r>
      <w:r w:rsidRPr="00CB76D8">
        <w:rPr>
          <w:sz w:val="24"/>
          <w:szCs w:val="24"/>
        </w:rPr>
        <w:t>travengan los derechos humanos?</w:t>
      </w:r>
      <w:r w:rsidR="00061468" w:rsidRPr="00CB76D8">
        <w:rPr>
          <w:sz w:val="24"/>
          <w:szCs w:val="24"/>
        </w:rPr>
        <w:t xml:space="preserve"> asimismo, ¿Existe alguna norma para la regulación </w:t>
      </w:r>
      <w:r w:rsidR="009B6439" w:rsidRPr="00CB76D8">
        <w:rPr>
          <w:rFonts w:cstheme="minorHAnsi"/>
          <w:sz w:val="24"/>
          <w:szCs w:val="24"/>
          <w:shd w:val="clear" w:color="auto" w:fill="FFFFFF"/>
        </w:rPr>
        <w:t>de los discursos religiosos de funcionarias y funcionarios pú</w:t>
      </w:r>
      <w:r w:rsidR="00061468" w:rsidRPr="00CB76D8">
        <w:rPr>
          <w:rFonts w:cstheme="minorHAnsi"/>
          <w:sz w:val="24"/>
          <w:szCs w:val="24"/>
          <w:shd w:val="clear" w:color="auto" w:fill="FFFFFF"/>
        </w:rPr>
        <w:t xml:space="preserve">blicos tanto en actos públicos como en medios de comunicación, </w:t>
      </w:r>
      <w:r w:rsidR="009B6439" w:rsidRPr="00CB76D8">
        <w:rPr>
          <w:rFonts w:cstheme="minorHAnsi"/>
          <w:sz w:val="24"/>
          <w:szCs w:val="24"/>
          <w:shd w:val="clear" w:color="auto" w:fill="FFFFFF"/>
        </w:rPr>
        <w:t xml:space="preserve">y el uso de símbolos </w:t>
      </w:r>
      <w:r w:rsidR="00061468" w:rsidRPr="00CB76D8">
        <w:rPr>
          <w:rFonts w:cstheme="minorHAnsi"/>
          <w:sz w:val="24"/>
          <w:szCs w:val="24"/>
          <w:shd w:val="clear" w:color="auto" w:fill="FFFFFF"/>
        </w:rPr>
        <w:t>religiosos en espacios públicos</w:t>
      </w:r>
      <w:r w:rsidR="009B6439" w:rsidRPr="00CB76D8">
        <w:rPr>
          <w:rFonts w:cstheme="minorHAnsi"/>
          <w:sz w:val="24"/>
          <w:szCs w:val="24"/>
          <w:shd w:val="clear" w:color="auto" w:fill="FFFFFF"/>
        </w:rPr>
        <w:t>?</w:t>
      </w:r>
      <w:r w:rsidR="00CB76D8" w:rsidRPr="00CB76D8">
        <w:rPr>
          <w:rFonts w:cstheme="minorHAnsi"/>
          <w:sz w:val="24"/>
          <w:szCs w:val="24"/>
          <w:shd w:val="clear" w:color="auto" w:fill="FFFFFF"/>
        </w:rPr>
        <w:t>.</w:t>
      </w:r>
      <w:r w:rsidR="009B6439" w:rsidRPr="00CB76D8">
        <w:rPr>
          <w:rFonts w:cstheme="minorHAnsi"/>
          <w:sz w:val="24"/>
          <w:szCs w:val="24"/>
          <w:shd w:val="clear" w:color="auto" w:fill="FFFFFF"/>
        </w:rPr>
        <w:t xml:space="preserve"> </w:t>
      </w:r>
    </w:p>
    <w:p w14:paraId="6EA578EF" w14:textId="390F4B7E" w:rsidR="00B91675" w:rsidRPr="00CB76D8" w:rsidRDefault="00EA465C" w:rsidP="00DE3C6C">
      <w:pPr>
        <w:pStyle w:val="Prrafodelista"/>
        <w:numPr>
          <w:ilvl w:val="0"/>
          <w:numId w:val="5"/>
        </w:numPr>
        <w:jc w:val="both"/>
        <w:rPr>
          <w:sz w:val="24"/>
          <w:szCs w:val="24"/>
          <w:lang w:val="es-ES"/>
        </w:rPr>
      </w:pPr>
      <w:r w:rsidRPr="00CB76D8">
        <w:rPr>
          <w:sz w:val="24"/>
          <w:szCs w:val="24"/>
          <w:lang w:val="es-ES"/>
        </w:rPr>
        <w:t>¿Se han reportado en Bolivia hechos o decisiones políticas que hayan desconocido el princi</w:t>
      </w:r>
      <w:r w:rsidR="00CB76D8" w:rsidRPr="00CB76D8">
        <w:rPr>
          <w:sz w:val="24"/>
          <w:szCs w:val="24"/>
          <w:lang w:val="es-ES"/>
        </w:rPr>
        <w:t xml:space="preserve">pio constitucional de laicidad y </w:t>
      </w:r>
      <w:r w:rsidRPr="00CB76D8">
        <w:rPr>
          <w:sz w:val="24"/>
          <w:szCs w:val="24"/>
          <w:lang w:val="es-ES"/>
        </w:rPr>
        <w:t xml:space="preserve">la separación </w:t>
      </w:r>
      <w:r w:rsidR="00CB76D8" w:rsidRPr="00CB76D8">
        <w:rPr>
          <w:sz w:val="24"/>
          <w:szCs w:val="24"/>
          <w:lang w:val="es-ES"/>
        </w:rPr>
        <w:t xml:space="preserve">efectiva </w:t>
      </w:r>
      <w:r w:rsidRPr="00CB76D8">
        <w:rPr>
          <w:sz w:val="24"/>
          <w:szCs w:val="24"/>
          <w:lang w:val="es-ES"/>
        </w:rPr>
        <w:t>entre el Estado y las religiones?</w:t>
      </w:r>
      <w:r w:rsidR="00CB76D8" w:rsidRPr="00CB76D8">
        <w:rPr>
          <w:sz w:val="24"/>
          <w:szCs w:val="24"/>
          <w:lang w:val="es-ES"/>
        </w:rPr>
        <w:t>.</w:t>
      </w:r>
    </w:p>
    <w:p w14:paraId="5D1D5F6F" w14:textId="77777777" w:rsidR="003B0FD6" w:rsidRPr="00CB76D8" w:rsidRDefault="001C0190" w:rsidP="00D06A1A">
      <w:pPr>
        <w:jc w:val="both"/>
        <w:rPr>
          <w:b/>
          <w:sz w:val="24"/>
          <w:szCs w:val="24"/>
        </w:rPr>
      </w:pPr>
      <w:r w:rsidRPr="00CB76D8">
        <w:rPr>
          <w:b/>
          <w:sz w:val="24"/>
          <w:szCs w:val="24"/>
        </w:rPr>
        <w:t>VIOLENCIA CONTRA LA MUJER</w:t>
      </w:r>
      <w:r w:rsidR="009221D0" w:rsidRPr="00CB76D8">
        <w:rPr>
          <w:b/>
          <w:sz w:val="24"/>
          <w:szCs w:val="24"/>
        </w:rPr>
        <w:t xml:space="preserve"> (Artículos 2, 3 y 5 de la CEDAW)</w:t>
      </w:r>
    </w:p>
    <w:p w14:paraId="047D1C3D" w14:textId="34918F69" w:rsidR="003112A3" w:rsidRPr="00CB76D8" w:rsidRDefault="00DE3C6C" w:rsidP="00DE3C6C">
      <w:pPr>
        <w:pStyle w:val="Prrafodelista"/>
        <w:numPr>
          <w:ilvl w:val="0"/>
          <w:numId w:val="9"/>
        </w:numPr>
        <w:spacing w:before="240" w:after="240"/>
        <w:jc w:val="both"/>
        <w:rPr>
          <w:rFonts w:cs="Arial"/>
          <w:sz w:val="24"/>
          <w:szCs w:val="24"/>
          <w:lang w:val="es-ES"/>
        </w:rPr>
      </w:pPr>
      <w:r w:rsidRPr="00CB76D8">
        <w:rPr>
          <w:rFonts w:cs="Arial"/>
          <w:sz w:val="24"/>
          <w:szCs w:val="24"/>
          <w:lang w:val="es-ES"/>
        </w:rPr>
        <w:t>La existencia de la Ley No. 348</w:t>
      </w:r>
      <w:r w:rsidR="003112A3" w:rsidRPr="00CB76D8">
        <w:rPr>
          <w:rFonts w:cs="Arial"/>
          <w:sz w:val="24"/>
          <w:szCs w:val="24"/>
          <w:lang w:val="es-ES"/>
        </w:rPr>
        <w:t xml:space="preserve"> marca el inicio de un cambio de modelo en la concepción y el abordaje de la violencia de género en Bolivia. Empero las brechas entre la norma y la realidad son grandes y obedecen a varios factores: institucionales, económicos, culturales, de coordinación y otros. </w:t>
      </w:r>
      <w:r w:rsidRPr="00CB76D8">
        <w:rPr>
          <w:rFonts w:cs="Arial"/>
          <w:sz w:val="24"/>
          <w:szCs w:val="24"/>
          <w:lang w:val="es-ES"/>
        </w:rPr>
        <w:t xml:space="preserve">Así, la violencia </w:t>
      </w:r>
      <w:r w:rsidR="000F6116" w:rsidRPr="00CB76D8">
        <w:rPr>
          <w:rFonts w:cs="Calibri"/>
          <w:sz w:val="24"/>
          <w:szCs w:val="24"/>
          <w:lang w:val="es-PE"/>
        </w:rPr>
        <w:t xml:space="preserve">sigue instalada </w:t>
      </w:r>
      <w:r w:rsidRPr="00CB76D8">
        <w:rPr>
          <w:rFonts w:cs="Calibri"/>
          <w:sz w:val="24"/>
          <w:szCs w:val="24"/>
          <w:lang w:val="es-PE"/>
        </w:rPr>
        <w:t xml:space="preserve">en el país, </w:t>
      </w:r>
      <w:r w:rsidR="003112A3" w:rsidRPr="00CB76D8">
        <w:rPr>
          <w:sz w:val="24"/>
          <w:szCs w:val="24"/>
        </w:rPr>
        <w:t>según la Encuesta de Prevalencia y Tipos de Violencia contra la Mujer del año 2016, señala que el 75% de las mujeres ha sufrido algún tipo de violencia</w:t>
      </w:r>
      <w:r w:rsidR="003E0001" w:rsidRPr="00CB76D8">
        <w:rPr>
          <w:sz w:val="24"/>
          <w:szCs w:val="24"/>
        </w:rPr>
        <w:t xml:space="preserve"> (INE y otros, 2016)</w:t>
      </w:r>
      <w:r w:rsidR="003112A3" w:rsidRPr="00CB76D8">
        <w:rPr>
          <w:sz w:val="24"/>
          <w:szCs w:val="24"/>
        </w:rPr>
        <w:t>.</w:t>
      </w:r>
    </w:p>
    <w:p w14:paraId="4EB110AC" w14:textId="4176497E" w:rsidR="000F6116" w:rsidRPr="00CB76D8" w:rsidRDefault="0023300E" w:rsidP="00BB5732">
      <w:pPr>
        <w:pStyle w:val="Prrafodelista"/>
        <w:numPr>
          <w:ilvl w:val="0"/>
          <w:numId w:val="9"/>
        </w:numPr>
        <w:spacing w:before="240" w:after="240"/>
        <w:jc w:val="both"/>
        <w:rPr>
          <w:rFonts w:cs="Calibri"/>
          <w:sz w:val="24"/>
          <w:szCs w:val="24"/>
          <w:lang w:val="es-PE"/>
        </w:rPr>
      </w:pPr>
      <w:r w:rsidRPr="00CB76D8">
        <w:rPr>
          <w:rFonts w:cs="Calibri"/>
          <w:sz w:val="24"/>
          <w:szCs w:val="24"/>
          <w:lang w:val="es-PE"/>
        </w:rPr>
        <w:t xml:space="preserve">En relación a la </w:t>
      </w:r>
      <w:r w:rsidR="003112A3" w:rsidRPr="00CB76D8">
        <w:rPr>
          <w:rFonts w:cs="Calibri"/>
          <w:sz w:val="24"/>
          <w:szCs w:val="24"/>
          <w:lang w:val="es-PE"/>
        </w:rPr>
        <w:t>justicia</w:t>
      </w:r>
      <w:r w:rsidRPr="00CB76D8">
        <w:rPr>
          <w:rFonts w:cs="Calibri"/>
          <w:sz w:val="24"/>
          <w:szCs w:val="24"/>
          <w:lang w:val="es-PE"/>
        </w:rPr>
        <w:t>,</w:t>
      </w:r>
      <w:r w:rsidR="003112A3" w:rsidRPr="00CB76D8">
        <w:rPr>
          <w:rFonts w:cs="Calibri"/>
          <w:sz w:val="24"/>
          <w:szCs w:val="24"/>
          <w:lang w:val="es-PE"/>
        </w:rPr>
        <w:t xml:space="preserve"> </w:t>
      </w:r>
      <w:r w:rsidR="000F6116" w:rsidRPr="00CB76D8">
        <w:rPr>
          <w:rFonts w:cs="Calibri"/>
          <w:sz w:val="24"/>
          <w:szCs w:val="24"/>
          <w:lang w:val="es-PE"/>
        </w:rPr>
        <w:t>los mayores obstáculos están vinculados a la falta de acceso a la justicia traducida en la impunidad resultado de la limitada cobertura de los servicios de atención, la carencia de infraestructura y equipamiento adecuado, la falta de apoyo psico-socio-legal a las víctimas, la complejidad de los proce</w:t>
      </w:r>
      <w:r w:rsidR="00DE3C6C" w:rsidRPr="00CB76D8">
        <w:rPr>
          <w:rFonts w:cs="Calibri"/>
          <w:sz w:val="24"/>
          <w:szCs w:val="24"/>
          <w:lang w:val="es-PE"/>
        </w:rPr>
        <w:t xml:space="preserve">sos penales, </w:t>
      </w:r>
      <w:r w:rsidR="000F6116" w:rsidRPr="00CB76D8">
        <w:rPr>
          <w:rFonts w:cs="Calibri"/>
          <w:sz w:val="24"/>
          <w:szCs w:val="24"/>
          <w:lang w:val="es-PE"/>
        </w:rPr>
        <w:t>retardación de justicia</w:t>
      </w:r>
      <w:r w:rsidR="00DE3C6C" w:rsidRPr="00CB76D8">
        <w:rPr>
          <w:rFonts w:cs="Calibri"/>
          <w:sz w:val="24"/>
          <w:szCs w:val="24"/>
          <w:lang w:val="es-PE"/>
        </w:rPr>
        <w:t xml:space="preserve"> y </w:t>
      </w:r>
      <w:r w:rsidR="000F6116" w:rsidRPr="00CB76D8">
        <w:rPr>
          <w:rFonts w:cs="Calibri"/>
          <w:sz w:val="24"/>
          <w:szCs w:val="24"/>
          <w:lang w:val="es-PE"/>
        </w:rPr>
        <w:t>falta de estabilidad laboral y especialización del personal que atiende a las víctimas</w:t>
      </w:r>
      <w:r w:rsidRPr="00CB76D8">
        <w:rPr>
          <w:rFonts w:cs="Calibri"/>
          <w:sz w:val="24"/>
          <w:szCs w:val="24"/>
          <w:lang w:val="es-PE"/>
        </w:rPr>
        <w:t>,</w:t>
      </w:r>
      <w:r w:rsidR="000F6116" w:rsidRPr="00CB76D8">
        <w:rPr>
          <w:rFonts w:cs="Calibri"/>
          <w:sz w:val="24"/>
          <w:szCs w:val="24"/>
          <w:lang w:val="es-PE"/>
        </w:rPr>
        <w:t xml:space="preserve"> que muchas veces no actúa con la debida diligencia. </w:t>
      </w:r>
    </w:p>
    <w:p w14:paraId="79D97F61" w14:textId="0CC06548" w:rsidR="003112A3" w:rsidRPr="00CB76D8" w:rsidRDefault="0023300E" w:rsidP="00BB5732">
      <w:pPr>
        <w:pStyle w:val="Prrafodelista"/>
        <w:numPr>
          <w:ilvl w:val="0"/>
          <w:numId w:val="9"/>
        </w:numPr>
        <w:jc w:val="both"/>
        <w:rPr>
          <w:rFonts w:cs="Arial"/>
          <w:sz w:val="24"/>
          <w:szCs w:val="24"/>
          <w:lang w:val="es-SV"/>
        </w:rPr>
      </w:pPr>
      <w:r w:rsidRPr="00CB76D8">
        <w:rPr>
          <w:rFonts w:cs="Arial"/>
          <w:sz w:val="24"/>
          <w:szCs w:val="24"/>
          <w:lang w:val="es-SV"/>
        </w:rPr>
        <w:t>De</w:t>
      </w:r>
      <w:r w:rsidR="003112A3" w:rsidRPr="00CB76D8">
        <w:rPr>
          <w:rFonts w:cs="Arial"/>
          <w:sz w:val="24"/>
          <w:szCs w:val="24"/>
          <w:lang w:val="es-SV"/>
        </w:rPr>
        <w:t>l 64% de los procesos por violencia contra las mujeres en el periodo 2015 – 201</w:t>
      </w:r>
      <w:r w:rsidRPr="00CB76D8">
        <w:rPr>
          <w:rFonts w:cs="Arial"/>
          <w:sz w:val="24"/>
          <w:szCs w:val="24"/>
          <w:lang w:val="es-SV"/>
        </w:rPr>
        <w:t xml:space="preserve">8 (enero – marzo), </w:t>
      </w:r>
      <w:r w:rsidR="003112A3" w:rsidRPr="00CB76D8">
        <w:rPr>
          <w:rFonts w:cs="Arial"/>
          <w:sz w:val="24"/>
          <w:szCs w:val="24"/>
          <w:lang w:val="es-SV"/>
        </w:rPr>
        <w:t>solo el 1,62% de las causas cerradas obtuvie</w:t>
      </w:r>
      <w:r w:rsidRPr="00CB76D8">
        <w:rPr>
          <w:rFonts w:cs="Arial"/>
          <w:sz w:val="24"/>
          <w:szCs w:val="24"/>
          <w:lang w:val="es-SV"/>
        </w:rPr>
        <w:t>ron una sentencia condenatoria luego</w:t>
      </w:r>
      <w:r w:rsidR="003112A3" w:rsidRPr="00CB76D8">
        <w:rPr>
          <w:rFonts w:cs="Arial"/>
          <w:sz w:val="24"/>
          <w:szCs w:val="24"/>
          <w:lang w:val="es-SV"/>
        </w:rPr>
        <w:t xml:space="preserve"> de un juicio ordinario, lo que equivale a 1,13% con relación al total de causas abiertas. El 3,3% la obtuvieron mediante un proceso abreviado, alcanzando entre ambas el 4,92%</w:t>
      </w:r>
      <w:r w:rsidR="003E0001" w:rsidRPr="00CB76D8">
        <w:rPr>
          <w:rFonts w:cs="Arial"/>
          <w:sz w:val="24"/>
          <w:szCs w:val="24"/>
          <w:lang w:val="es-SV"/>
        </w:rPr>
        <w:t xml:space="preserve"> (ONU Mujeres, 2019)</w:t>
      </w:r>
      <w:r w:rsidRPr="00CB76D8">
        <w:rPr>
          <w:rFonts w:cs="Arial"/>
          <w:sz w:val="24"/>
          <w:szCs w:val="24"/>
          <w:lang w:val="es-SV"/>
        </w:rPr>
        <w:t xml:space="preserve">. </w:t>
      </w:r>
    </w:p>
    <w:p w14:paraId="27F8B7D5" w14:textId="35ED9D6F" w:rsidR="003112A3" w:rsidRPr="00CB76D8" w:rsidRDefault="00DE3C6C" w:rsidP="00BB5732">
      <w:pPr>
        <w:pStyle w:val="Prrafodelista"/>
        <w:numPr>
          <w:ilvl w:val="0"/>
          <w:numId w:val="9"/>
        </w:numPr>
        <w:jc w:val="both"/>
        <w:rPr>
          <w:rFonts w:cs="Arial"/>
          <w:sz w:val="24"/>
          <w:szCs w:val="24"/>
          <w:lang w:val="es-SV"/>
        </w:rPr>
      </w:pPr>
      <w:r w:rsidRPr="00CB76D8">
        <w:rPr>
          <w:rFonts w:cs="Arial"/>
          <w:sz w:val="24"/>
          <w:szCs w:val="24"/>
          <w:lang w:val="es-ES"/>
        </w:rPr>
        <w:t>En esta línea, l</w:t>
      </w:r>
      <w:r w:rsidR="003112A3" w:rsidRPr="00CB76D8">
        <w:rPr>
          <w:rFonts w:cs="Arial"/>
          <w:sz w:val="24"/>
          <w:szCs w:val="24"/>
          <w:lang w:val="es-ES"/>
        </w:rPr>
        <w:t>os rechazos del Ministerio Público representan el 84,96% de</w:t>
      </w:r>
      <w:r w:rsidR="0023300E" w:rsidRPr="00CB76D8">
        <w:rPr>
          <w:rFonts w:cs="Arial"/>
          <w:sz w:val="24"/>
          <w:szCs w:val="24"/>
          <w:lang w:val="es-ES"/>
        </w:rPr>
        <w:t xml:space="preserve"> las causas cerradas. Si a ello</w:t>
      </w:r>
      <w:r w:rsidR="003112A3" w:rsidRPr="00CB76D8">
        <w:rPr>
          <w:rFonts w:cs="Arial"/>
          <w:sz w:val="24"/>
          <w:szCs w:val="24"/>
          <w:lang w:val="es-ES"/>
        </w:rPr>
        <w:t xml:space="preserve"> se suman las salidas alternativas de la conciliación y la suspensión condicional del proceso</w:t>
      </w:r>
      <w:r w:rsidR="003112A3" w:rsidRPr="00CB76D8">
        <w:rPr>
          <w:rStyle w:val="Refdenotaalpie"/>
          <w:rFonts w:cs="Arial"/>
          <w:sz w:val="24"/>
          <w:szCs w:val="24"/>
          <w:lang w:val="es-SV"/>
        </w:rPr>
        <w:footnoteReference w:id="8"/>
      </w:r>
      <w:r w:rsidR="003112A3" w:rsidRPr="00CB76D8">
        <w:rPr>
          <w:rFonts w:cs="Arial"/>
          <w:sz w:val="24"/>
          <w:szCs w:val="24"/>
          <w:lang w:val="es-ES"/>
        </w:rPr>
        <w:t xml:space="preserve"> (0,21%), los criterios de oportunidad reglada</w:t>
      </w:r>
      <w:r w:rsidR="003112A3" w:rsidRPr="00CB76D8">
        <w:rPr>
          <w:rStyle w:val="Refdenotaalpie"/>
          <w:rFonts w:cs="Arial"/>
          <w:sz w:val="24"/>
          <w:szCs w:val="24"/>
        </w:rPr>
        <w:footnoteReference w:id="9"/>
      </w:r>
      <w:r w:rsidR="003112A3" w:rsidRPr="00CB76D8">
        <w:rPr>
          <w:rFonts w:cs="Arial"/>
          <w:sz w:val="24"/>
          <w:szCs w:val="24"/>
          <w:lang w:val="es-ES"/>
        </w:rPr>
        <w:t xml:space="preserve"> (5,34%) y los </w:t>
      </w:r>
      <w:r w:rsidR="003112A3" w:rsidRPr="00CB76D8">
        <w:rPr>
          <w:rFonts w:cs="Arial"/>
          <w:sz w:val="24"/>
          <w:szCs w:val="24"/>
          <w:lang w:val="es-ES"/>
        </w:rPr>
        <w:lastRenderedPageBreak/>
        <w:t>sobreseimientos (4,54%), es posible afirmar que al menos el 95,05% de las causas por delitos de violencia se cerraro</w:t>
      </w:r>
      <w:r w:rsidRPr="00CB76D8">
        <w:rPr>
          <w:rFonts w:cs="Arial"/>
          <w:sz w:val="24"/>
          <w:szCs w:val="24"/>
          <w:lang w:val="es-ES"/>
        </w:rPr>
        <w:t>n sin una sanción. Es decir que</w:t>
      </w:r>
      <w:r w:rsidR="003112A3" w:rsidRPr="00CB76D8">
        <w:rPr>
          <w:rFonts w:cs="Arial"/>
          <w:sz w:val="24"/>
          <w:szCs w:val="24"/>
          <w:lang w:val="es-ES"/>
        </w:rPr>
        <w:t xml:space="preserve"> sólo en 6 de cada 100 procesos cerrados se dispuso una sanción en juicio oral ordinario o proceso abreviado</w:t>
      </w:r>
      <w:r w:rsidR="003E0001" w:rsidRPr="00CB76D8">
        <w:rPr>
          <w:rFonts w:cs="Arial"/>
          <w:sz w:val="24"/>
          <w:szCs w:val="24"/>
          <w:lang w:val="es-ES"/>
        </w:rPr>
        <w:t xml:space="preserve"> (Comunidad de Derechos Humanos, 2019)</w:t>
      </w:r>
      <w:r w:rsidR="003112A3" w:rsidRPr="00CB76D8">
        <w:rPr>
          <w:rFonts w:cs="Arial"/>
          <w:sz w:val="24"/>
          <w:szCs w:val="24"/>
          <w:lang w:val="es-ES"/>
        </w:rPr>
        <w:t xml:space="preserve">. </w:t>
      </w:r>
    </w:p>
    <w:p w14:paraId="0BB12925" w14:textId="77777777" w:rsidR="001C0190" w:rsidRPr="00CB76D8" w:rsidRDefault="001C0190" w:rsidP="00BB5732">
      <w:pPr>
        <w:pStyle w:val="Prrafodelista"/>
        <w:numPr>
          <w:ilvl w:val="0"/>
          <w:numId w:val="9"/>
        </w:numPr>
        <w:tabs>
          <w:tab w:val="left" w:pos="2076"/>
        </w:tabs>
        <w:spacing w:before="240" w:after="240"/>
        <w:jc w:val="both"/>
        <w:rPr>
          <w:sz w:val="24"/>
          <w:szCs w:val="24"/>
        </w:rPr>
      </w:pPr>
      <w:r w:rsidRPr="00CB76D8">
        <w:rPr>
          <w:sz w:val="24"/>
          <w:szCs w:val="24"/>
        </w:rPr>
        <w:t xml:space="preserve">Según datos de la Fiscalía General del </w:t>
      </w:r>
      <w:r w:rsidR="006552BF" w:rsidRPr="00CB76D8">
        <w:rPr>
          <w:sz w:val="24"/>
          <w:szCs w:val="24"/>
        </w:rPr>
        <w:t>Estado Parte</w:t>
      </w:r>
      <w:r w:rsidRPr="00CB76D8">
        <w:rPr>
          <w:sz w:val="24"/>
          <w:szCs w:val="24"/>
        </w:rPr>
        <w:t xml:space="preserve">, en la gestión 2019, cada tres días y medio se reporta un feminicidio en Bolivia, siendo el segundo país con la tasa más alta en Sud América. </w:t>
      </w:r>
    </w:p>
    <w:p w14:paraId="26841DDA" w14:textId="6978FE76" w:rsidR="006552BF" w:rsidRDefault="000E7E34" w:rsidP="00BB5732">
      <w:pPr>
        <w:pStyle w:val="Prrafodelista"/>
        <w:numPr>
          <w:ilvl w:val="0"/>
          <w:numId w:val="9"/>
        </w:numPr>
        <w:tabs>
          <w:tab w:val="left" w:pos="2076"/>
        </w:tabs>
        <w:spacing w:before="240" w:after="240"/>
        <w:jc w:val="both"/>
        <w:rPr>
          <w:sz w:val="24"/>
          <w:szCs w:val="24"/>
        </w:rPr>
      </w:pPr>
      <w:r w:rsidRPr="00CB76D8">
        <w:rPr>
          <w:sz w:val="24"/>
          <w:szCs w:val="24"/>
        </w:rPr>
        <w:t xml:space="preserve">Durante la época de cuarentena (el 22 de marzo, </w:t>
      </w:r>
      <w:r w:rsidR="00692DC2">
        <w:rPr>
          <w:sz w:val="24"/>
          <w:szCs w:val="24"/>
        </w:rPr>
        <w:t>se</w:t>
      </w:r>
      <w:r w:rsidRPr="00CB76D8">
        <w:rPr>
          <w:sz w:val="24"/>
          <w:szCs w:val="24"/>
        </w:rPr>
        <w:t xml:space="preserve"> inici</w:t>
      </w:r>
      <w:r w:rsidR="00692DC2">
        <w:rPr>
          <w:sz w:val="24"/>
          <w:szCs w:val="24"/>
        </w:rPr>
        <w:t>ó</w:t>
      </w:r>
      <w:r w:rsidRPr="00CB76D8">
        <w:rPr>
          <w:sz w:val="24"/>
          <w:szCs w:val="24"/>
        </w:rPr>
        <w:t xml:space="preserve"> de la cuarentena</w:t>
      </w:r>
      <w:r w:rsidR="00692DC2">
        <w:rPr>
          <w:sz w:val="24"/>
          <w:szCs w:val="24"/>
        </w:rPr>
        <w:t xml:space="preserve"> rígida</w:t>
      </w:r>
      <w:r w:rsidRPr="00CB76D8">
        <w:rPr>
          <w:sz w:val="24"/>
          <w:szCs w:val="24"/>
        </w:rPr>
        <w:t>), en Bolivia se tuvo un total de 3.414 casos de violencia contra las mujeres, considerando solo las denuncias públicas y dejando de lado los subregistros que no siempre son conocidos. Asimismo</w:t>
      </w:r>
      <w:r w:rsidR="00F7776D" w:rsidRPr="00CB76D8">
        <w:rPr>
          <w:sz w:val="24"/>
          <w:szCs w:val="24"/>
        </w:rPr>
        <w:t>,</w:t>
      </w:r>
      <w:r w:rsidRPr="00CB76D8">
        <w:rPr>
          <w:sz w:val="24"/>
          <w:szCs w:val="24"/>
        </w:rPr>
        <w:t xml:space="preserve"> ocurrieron 15 feminicidios y 108 casos de violación a niñas niños y adolescentes (Fuente FELCV). </w:t>
      </w:r>
    </w:p>
    <w:p w14:paraId="01926050" w14:textId="77777777" w:rsidR="00692DC2" w:rsidRDefault="00692DC2" w:rsidP="00692DC2">
      <w:pPr>
        <w:pStyle w:val="Prrafodelista"/>
        <w:tabs>
          <w:tab w:val="left" w:pos="2076"/>
        </w:tabs>
        <w:spacing w:before="240" w:after="240"/>
        <w:ind w:left="360"/>
        <w:jc w:val="both"/>
        <w:rPr>
          <w:sz w:val="24"/>
          <w:szCs w:val="24"/>
        </w:rPr>
      </w:pPr>
    </w:p>
    <w:p w14:paraId="3579EA85" w14:textId="77777777" w:rsidR="003112A3" w:rsidRPr="00CB76D8" w:rsidRDefault="003112A3" w:rsidP="00D06A1A">
      <w:pPr>
        <w:jc w:val="both"/>
        <w:rPr>
          <w:b/>
          <w:i/>
          <w:sz w:val="24"/>
          <w:szCs w:val="24"/>
        </w:rPr>
      </w:pPr>
      <w:r w:rsidRPr="00CB76D8">
        <w:rPr>
          <w:rFonts w:cs="Calibri"/>
          <w:b/>
          <w:i/>
          <w:color w:val="000000"/>
          <w:sz w:val="24"/>
          <w:szCs w:val="24"/>
        </w:rPr>
        <w:t>Sugerencias de cuestiones:</w:t>
      </w:r>
    </w:p>
    <w:p w14:paraId="665D26C4" w14:textId="61C6F00C" w:rsidR="009B6439" w:rsidRPr="00CB76D8" w:rsidRDefault="00E42FA5" w:rsidP="00321325">
      <w:pPr>
        <w:pStyle w:val="Prrafodelista"/>
        <w:numPr>
          <w:ilvl w:val="0"/>
          <w:numId w:val="5"/>
        </w:numPr>
        <w:spacing w:before="120" w:after="0"/>
        <w:jc w:val="both"/>
        <w:rPr>
          <w:rFonts w:cstheme="minorHAnsi"/>
          <w:color w:val="000000" w:themeColor="text1"/>
          <w:sz w:val="24"/>
          <w:szCs w:val="24"/>
          <w:shd w:val="clear" w:color="auto" w:fill="FFFFFF"/>
        </w:rPr>
      </w:pPr>
      <w:r w:rsidRPr="00CB76D8">
        <w:rPr>
          <w:sz w:val="24"/>
          <w:szCs w:val="24"/>
        </w:rPr>
        <w:t xml:space="preserve">¿Cuenta el Estado Parte con una Estrategia </w:t>
      </w:r>
      <w:r w:rsidR="00692DC2">
        <w:rPr>
          <w:sz w:val="24"/>
          <w:szCs w:val="24"/>
        </w:rPr>
        <w:t xml:space="preserve">Nacional </w:t>
      </w:r>
      <w:r w:rsidRPr="00CB76D8">
        <w:rPr>
          <w:sz w:val="24"/>
          <w:szCs w:val="24"/>
        </w:rPr>
        <w:t xml:space="preserve">de prevención de todas las formas de violencia en razón de género </w:t>
      </w:r>
      <w:r w:rsidRPr="00CB76D8">
        <w:rPr>
          <w:rFonts w:cs="Times New Roman"/>
          <w:sz w:val="24"/>
          <w:szCs w:val="24"/>
        </w:rPr>
        <w:t>contra la mujer, que incluya prácticas cul</w:t>
      </w:r>
      <w:r w:rsidR="00321325" w:rsidRPr="00CB76D8">
        <w:rPr>
          <w:rFonts w:cs="Times New Roman"/>
          <w:sz w:val="24"/>
          <w:szCs w:val="24"/>
        </w:rPr>
        <w:t xml:space="preserve">turales, sociales y religiosas?, ¿la estrategia ha sido </w:t>
      </w:r>
      <w:r w:rsidR="009B6439" w:rsidRPr="00CB76D8">
        <w:rPr>
          <w:sz w:val="24"/>
          <w:szCs w:val="24"/>
        </w:rPr>
        <w:t>incorporada en el currículo educativo, tal como lo se</w:t>
      </w:r>
      <w:r w:rsidR="00704397" w:rsidRPr="00CB76D8">
        <w:rPr>
          <w:sz w:val="24"/>
          <w:szCs w:val="24"/>
        </w:rPr>
        <w:t>ñala la Ley No. 348 del Estado P</w:t>
      </w:r>
      <w:r w:rsidR="009B6439" w:rsidRPr="00CB76D8">
        <w:rPr>
          <w:sz w:val="24"/>
          <w:szCs w:val="24"/>
        </w:rPr>
        <w:t>arte?</w:t>
      </w:r>
      <w:r w:rsidR="00CB76D8" w:rsidRPr="00CB76D8">
        <w:rPr>
          <w:sz w:val="24"/>
          <w:szCs w:val="24"/>
        </w:rPr>
        <w:t>.</w:t>
      </w:r>
      <w:r w:rsidR="009B6439" w:rsidRPr="00CB76D8">
        <w:rPr>
          <w:sz w:val="24"/>
          <w:szCs w:val="24"/>
        </w:rPr>
        <w:t xml:space="preserve"> </w:t>
      </w:r>
    </w:p>
    <w:p w14:paraId="1EA509AB" w14:textId="15359C06" w:rsidR="00FD2D2F" w:rsidRPr="00CB76D8" w:rsidRDefault="001C0190" w:rsidP="00EB0011">
      <w:pPr>
        <w:pStyle w:val="Prrafodelista"/>
        <w:numPr>
          <w:ilvl w:val="0"/>
          <w:numId w:val="6"/>
        </w:numPr>
        <w:jc w:val="both"/>
        <w:rPr>
          <w:sz w:val="24"/>
          <w:szCs w:val="24"/>
        </w:rPr>
      </w:pPr>
      <w:r w:rsidRPr="00CB76D8">
        <w:rPr>
          <w:sz w:val="24"/>
          <w:szCs w:val="24"/>
        </w:rPr>
        <w:t>¿</w:t>
      </w:r>
      <w:r w:rsidR="0037211A" w:rsidRPr="00CB76D8">
        <w:rPr>
          <w:sz w:val="24"/>
          <w:szCs w:val="24"/>
        </w:rPr>
        <w:t xml:space="preserve">Qué política </w:t>
      </w:r>
      <w:r w:rsidR="0037211A" w:rsidRPr="00CB76D8">
        <w:rPr>
          <w:rFonts w:cs="Calibri"/>
          <w:sz w:val="24"/>
          <w:szCs w:val="24"/>
          <w:shd w:val="clear" w:color="auto" w:fill="FFFFFF"/>
        </w:rPr>
        <w:t>de asistencia</w:t>
      </w:r>
      <w:r w:rsidR="004E4EB5" w:rsidRPr="00CB76D8">
        <w:rPr>
          <w:rFonts w:cs="Calibri"/>
          <w:sz w:val="24"/>
          <w:szCs w:val="24"/>
          <w:shd w:val="clear" w:color="auto" w:fill="FFFFFF"/>
        </w:rPr>
        <w:t xml:space="preserve"> y protección para los hijos, </w:t>
      </w:r>
      <w:r w:rsidR="0037211A" w:rsidRPr="00CB76D8">
        <w:rPr>
          <w:rFonts w:cs="Calibri"/>
          <w:sz w:val="24"/>
          <w:szCs w:val="24"/>
          <w:shd w:val="clear" w:color="auto" w:fill="FFFFFF"/>
        </w:rPr>
        <w:t xml:space="preserve">hijas </w:t>
      </w:r>
      <w:r w:rsidR="004E4EB5" w:rsidRPr="00CB76D8">
        <w:rPr>
          <w:rFonts w:cs="Calibri"/>
          <w:sz w:val="24"/>
          <w:szCs w:val="24"/>
          <w:shd w:val="clear" w:color="auto" w:fill="FFFFFF"/>
        </w:rPr>
        <w:t xml:space="preserve">y familia en general </w:t>
      </w:r>
      <w:r w:rsidR="0037211A" w:rsidRPr="00CB76D8">
        <w:rPr>
          <w:rFonts w:cs="Calibri"/>
          <w:sz w:val="24"/>
          <w:szCs w:val="24"/>
          <w:shd w:val="clear" w:color="auto" w:fill="FFFFFF"/>
        </w:rPr>
        <w:t xml:space="preserve">de víctimas de violencia y/o </w:t>
      </w:r>
      <w:r w:rsidR="004E4EB5" w:rsidRPr="00CB76D8">
        <w:rPr>
          <w:rFonts w:cs="Calibri"/>
          <w:sz w:val="24"/>
          <w:szCs w:val="24"/>
          <w:shd w:val="clear" w:color="auto" w:fill="FFFFFF"/>
        </w:rPr>
        <w:t>feminicidio se están aplicando?</w:t>
      </w:r>
      <w:r w:rsidR="00CB76D8" w:rsidRPr="00CB76D8">
        <w:rPr>
          <w:rFonts w:cs="Calibri"/>
          <w:sz w:val="24"/>
          <w:szCs w:val="24"/>
          <w:shd w:val="clear" w:color="auto" w:fill="FFFFFF"/>
        </w:rPr>
        <w:t>.</w:t>
      </w:r>
    </w:p>
    <w:p w14:paraId="3C709E24" w14:textId="178163B7" w:rsidR="00FD2D2F" w:rsidRPr="00CB76D8" w:rsidRDefault="00FD2D2F" w:rsidP="00EB0011">
      <w:pPr>
        <w:pStyle w:val="Prrafodelista"/>
        <w:numPr>
          <w:ilvl w:val="0"/>
          <w:numId w:val="6"/>
        </w:numPr>
        <w:jc w:val="both"/>
        <w:rPr>
          <w:sz w:val="24"/>
          <w:szCs w:val="24"/>
        </w:rPr>
      </w:pPr>
      <w:r w:rsidRPr="00CB76D8">
        <w:rPr>
          <w:rFonts w:cs="Calibri"/>
          <w:sz w:val="24"/>
          <w:szCs w:val="24"/>
          <w:shd w:val="clear" w:color="auto" w:fill="FFFFFF"/>
        </w:rPr>
        <w:t>¿Cuánto se ha avanzado en la creación de un Registro Único de Violencia q</w:t>
      </w:r>
      <w:r w:rsidR="0023300E" w:rsidRPr="00CB76D8">
        <w:rPr>
          <w:rFonts w:cs="Calibri"/>
          <w:sz w:val="24"/>
          <w:szCs w:val="24"/>
          <w:shd w:val="clear" w:color="auto" w:fill="FFFFFF"/>
        </w:rPr>
        <w:t>ue</w:t>
      </w:r>
      <w:r w:rsidRPr="00CB76D8">
        <w:rPr>
          <w:rFonts w:cs="Calibri"/>
          <w:sz w:val="24"/>
          <w:szCs w:val="24"/>
          <w:shd w:val="clear" w:color="auto" w:fill="FFFFFF"/>
        </w:rPr>
        <w:t xml:space="preserve"> contenga</w:t>
      </w:r>
      <w:r w:rsidR="001E6302" w:rsidRPr="00CB76D8">
        <w:rPr>
          <w:sz w:val="24"/>
          <w:szCs w:val="24"/>
        </w:rPr>
        <w:t xml:space="preserve"> información desglosada y actualizada sobre el número de denuncias de actos de violencia contra la</w:t>
      </w:r>
      <w:r w:rsidR="0037211A" w:rsidRPr="00CB76D8">
        <w:rPr>
          <w:sz w:val="24"/>
          <w:szCs w:val="24"/>
        </w:rPr>
        <w:t>s</w:t>
      </w:r>
      <w:r w:rsidR="001E6302" w:rsidRPr="00CB76D8">
        <w:rPr>
          <w:sz w:val="24"/>
          <w:szCs w:val="24"/>
        </w:rPr>
        <w:t xml:space="preserve"> mujer</w:t>
      </w:r>
      <w:r w:rsidR="0037211A" w:rsidRPr="00CB76D8">
        <w:rPr>
          <w:sz w:val="24"/>
          <w:szCs w:val="24"/>
        </w:rPr>
        <w:t>es</w:t>
      </w:r>
      <w:r w:rsidR="001E6302" w:rsidRPr="00CB76D8">
        <w:rPr>
          <w:sz w:val="24"/>
          <w:szCs w:val="24"/>
        </w:rPr>
        <w:t>, las investigaciones, los enjuiciamientos, las condenas y las penas impuestas a los autores de esos actos</w:t>
      </w:r>
      <w:r w:rsidR="0023300E" w:rsidRPr="00CB76D8">
        <w:rPr>
          <w:sz w:val="24"/>
          <w:szCs w:val="24"/>
        </w:rPr>
        <w:t>?, ¿Cuándo se tiene previsto que lo</w:t>
      </w:r>
      <w:r w:rsidRPr="00CB76D8">
        <w:rPr>
          <w:sz w:val="24"/>
          <w:szCs w:val="24"/>
        </w:rPr>
        <w:t>s registros administrativos de las instituciones que atiende</w:t>
      </w:r>
      <w:r w:rsidR="0023300E" w:rsidRPr="00CB76D8">
        <w:rPr>
          <w:sz w:val="24"/>
          <w:szCs w:val="24"/>
        </w:rPr>
        <w:t>n</w:t>
      </w:r>
      <w:r w:rsidR="00321325" w:rsidRPr="00CB76D8">
        <w:rPr>
          <w:sz w:val="24"/>
          <w:szCs w:val="24"/>
        </w:rPr>
        <w:t xml:space="preserve"> a las víctimas est</w:t>
      </w:r>
      <w:r w:rsidR="00692DC2">
        <w:rPr>
          <w:sz w:val="24"/>
          <w:szCs w:val="24"/>
        </w:rPr>
        <w:t>arán interoperando</w:t>
      </w:r>
      <w:r w:rsidR="00321325" w:rsidRPr="00CB76D8">
        <w:rPr>
          <w:sz w:val="24"/>
          <w:szCs w:val="24"/>
        </w:rPr>
        <w:t xml:space="preserve"> </w:t>
      </w:r>
      <w:r w:rsidRPr="00CB76D8">
        <w:rPr>
          <w:sz w:val="24"/>
          <w:szCs w:val="24"/>
        </w:rPr>
        <w:t>y</w:t>
      </w:r>
      <w:r w:rsidR="000967CC" w:rsidRPr="00CB76D8">
        <w:rPr>
          <w:sz w:val="24"/>
          <w:szCs w:val="24"/>
        </w:rPr>
        <w:t xml:space="preserve"> alimentando</w:t>
      </w:r>
      <w:r w:rsidR="0023300E" w:rsidRPr="00CB76D8">
        <w:rPr>
          <w:sz w:val="24"/>
          <w:szCs w:val="24"/>
        </w:rPr>
        <w:t xml:space="preserve"> este Registro Único?</w:t>
      </w:r>
      <w:r w:rsidR="00CB76D8" w:rsidRPr="00CB76D8">
        <w:rPr>
          <w:sz w:val="24"/>
          <w:szCs w:val="24"/>
        </w:rPr>
        <w:t>.</w:t>
      </w:r>
    </w:p>
    <w:p w14:paraId="476FADAF" w14:textId="01674DDF" w:rsidR="00FD2D2F" w:rsidRPr="00CB76D8" w:rsidRDefault="001C0190" w:rsidP="00EB0011">
      <w:pPr>
        <w:pStyle w:val="Prrafodelista"/>
        <w:numPr>
          <w:ilvl w:val="0"/>
          <w:numId w:val="6"/>
        </w:numPr>
        <w:jc w:val="both"/>
        <w:rPr>
          <w:sz w:val="24"/>
          <w:szCs w:val="24"/>
        </w:rPr>
      </w:pPr>
      <w:r w:rsidRPr="00CB76D8">
        <w:rPr>
          <w:sz w:val="24"/>
          <w:szCs w:val="24"/>
        </w:rPr>
        <w:t>¿Cuáles son los r</w:t>
      </w:r>
      <w:r w:rsidR="004E4EB5" w:rsidRPr="00CB76D8">
        <w:rPr>
          <w:sz w:val="24"/>
          <w:szCs w:val="24"/>
        </w:rPr>
        <w:t xml:space="preserve">esultados efectivos de las </w:t>
      </w:r>
      <w:r w:rsidR="0037211A" w:rsidRPr="00CB76D8">
        <w:rPr>
          <w:sz w:val="24"/>
          <w:szCs w:val="24"/>
        </w:rPr>
        <w:t>“D</w:t>
      </w:r>
      <w:r w:rsidR="001E6302" w:rsidRPr="00CB76D8">
        <w:rPr>
          <w:sz w:val="24"/>
          <w:szCs w:val="24"/>
        </w:rPr>
        <w:t>eclaratorias de alerta contra la violencia hacia las mujeres</w:t>
      </w:r>
      <w:r w:rsidR="0037211A" w:rsidRPr="00CB76D8">
        <w:rPr>
          <w:sz w:val="24"/>
          <w:szCs w:val="24"/>
        </w:rPr>
        <w:t>”</w:t>
      </w:r>
      <w:r w:rsidR="001E6302" w:rsidRPr="00CB76D8">
        <w:rPr>
          <w:sz w:val="24"/>
          <w:szCs w:val="24"/>
        </w:rPr>
        <w:t xml:space="preserve">, </w:t>
      </w:r>
      <w:r w:rsidR="0037211A" w:rsidRPr="00CB76D8">
        <w:rPr>
          <w:sz w:val="24"/>
          <w:szCs w:val="24"/>
        </w:rPr>
        <w:t>establecidas en la Ley No. 348</w:t>
      </w:r>
      <w:r w:rsidR="004E4EB5" w:rsidRPr="00CB76D8">
        <w:rPr>
          <w:sz w:val="24"/>
          <w:szCs w:val="24"/>
        </w:rPr>
        <w:t xml:space="preserve"> que se dispusieron, </w:t>
      </w:r>
      <w:r w:rsidR="00BC7778" w:rsidRPr="00CB76D8">
        <w:rPr>
          <w:sz w:val="24"/>
          <w:szCs w:val="24"/>
        </w:rPr>
        <w:t>señaladas en el párrafo 43 de su informe</w:t>
      </w:r>
      <w:r w:rsidRPr="00CB76D8">
        <w:rPr>
          <w:sz w:val="24"/>
          <w:szCs w:val="24"/>
        </w:rPr>
        <w:t>?</w:t>
      </w:r>
      <w:r w:rsidR="00CB76D8" w:rsidRPr="00CB76D8">
        <w:rPr>
          <w:sz w:val="24"/>
          <w:szCs w:val="24"/>
        </w:rPr>
        <w:t>.</w:t>
      </w:r>
    </w:p>
    <w:p w14:paraId="2266EDEA" w14:textId="732317EF" w:rsidR="004C2B48" w:rsidRPr="00CB76D8" w:rsidRDefault="004C2B48" w:rsidP="00EB0011">
      <w:pPr>
        <w:pStyle w:val="Prrafodelista"/>
        <w:numPr>
          <w:ilvl w:val="0"/>
          <w:numId w:val="1"/>
        </w:numPr>
        <w:jc w:val="both"/>
        <w:rPr>
          <w:sz w:val="24"/>
          <w:szCs w:val="24"/>
        </w:rPr>
      </w:pPr>
      <w:r w:rsidRPr="00CB76D8">
        <w:rPr>
          <w:sz w:val="24"/>
          <w:szCs w:val="24"/>
        </w:rPr>
        <w:t>¿Cuántos municipios cuentan con Servicios Legales integrales municipales, Defensorías</w:t>
      </w:r>
      <w:r w:rsidR="0023300E" w:rsidRPr="00CB76D8">
        <w:rPr>
          <w:sz w:val="24"/>
          <w:szCs w:val="24"/>
        </w:rPr>
        <w:t xml:space="preserve"> de la Niñez y la Adolescencia </w:t>
      </w:r>
      <w:r w:rsidRPr="00CB76D8">
        <w:rPr>
          <w:sz w:val="24"/>
          <w:szCs w:val="24"/>
        </w:rPr>
        <w:t>y Casa</w:t>
      </w:r>
      <w:r w:rsidR="0023300E" w:rsidRPr="00CB76D8">
        <w:rPr>
          <w:sz w:val="24"/>
          <w:szCs w:val="24"/>
        </w:rPr>
        <w:t>s</w:t>
      </w:r>
      <w:r w:rsidRPr="00CB76D8">
        <w:rPr>
          <w:sz w:val="24"/>
          <w:szCs w:val="24"/>
        </w:rPr>
        <w:t xml:space="preserve"> de Acogida en el país?, ¿Cuáles son los mecanismos de selección y especialización del personal que trabaja en esto</w:t>
      </w:r>
      <w:r w:rsidR="004E4EB5" w:rsidRPr="00CB76D8">
        <w:rPr>
          <w:sz w:val="24"/>
          <w:szCs w:val="24"/>
        </w:rPr>
        <w:t>s servicios? ¿Cómo se garantiza</w:t>
      </w:r>
      <w:r w:rsidRPr="00CB76D8">
        <w:rPr>
          <w:sz w:val="24"/>
          <w:szCs w:val="24"/>
        </w:rPr>
        <w:t xml:space="preserve"> la estabilidad labora</w:t>
      </w:r>
      <w:r w:rsidR="0023300E" w:rsidRPr="00CB76D8">
        <w:rPr>
          <w:sz w:val="24"/>
          <w:szCs w:val="24"/>
        </w:rPr>
        <w:t>l de este personal en el cargo?</w:t>
      </w:r>
      <w:r w:rsidR="00CB76D8" w:rsidRPr="00CB76D8">
        <w:rPr>
          <w:sz w:val="24"/>
          <w:szCs w:val="24"/>
        </w:rPr>
        <w:t>.</w:t>
      </w:r>
      <w:r w:rsidRPr="00CB76D8">
        <w:rPr>
          <w:sz w:val="24"/>
          <w:szCs w:val="24"/>
        </w:rPr>
        <w:t xml:space="preserve"> </w:t>
      </w:r>
    </w:p>
    <w:p w14:paraId="61C1ED97" w14:textId="245A274F" w:rsidR="004C2B48" w:rsidRPr="00CB76D8" w:rsidRDefault="004C2B48" w:rsidP="00EB0011">
      <w:pPr>
        <w:pStyle w:val="Prrafodelista"/>
        <w:numPr>
          <w:ilvl w:val="0"/>
          <w:numId w:val="1"/>
        </w:numPr>
        <w:jc w:val="both"/>
        <w:rPr>
          <w:sz w:val="24"/>
          <w:szCs w:val="24"/>
        </w:rPr>
      </w:pPr>
      <w:r w:rsidRPr="00CB76D8">
        <w:rPr>
          <w:sz w:val="24"/>
          <w:szCs w:val="24"/>
        </w:rPr>
        <w:t xml:space="preserve">¿En qué medida se ha cumplido la inversión nacional y subnacional en la Fuerza Especial de Lucha contra </w:t>
      </w:r>
      <w:r w:rsidR="00FD2D2F" w:rsidRPr="00CB76D8">
        <w:rPr>
          <w:sz w:val="24"/>
          <w:szCs w:val="24"/>
        </w:rPr>
        <w:t>l</w:t>
      </w:r>
      <w:r w:rsidRPr="00CB76D8">
        <w:rPr>
          <w:sz w:val="24"/>
          <w:szCs w:val="24"/>
        </w:rPr>
        <w:t xml:space="preserve">a Violencia </w:t>
      </w:r>
      <w:r w:rsidR="00BC7297" w:rsidRPr="00CB76D8">
        <w:rPr>
          <w:sz w:val="24"/>
          <w:szCs w:val="24"/>
        </w:rPr>
        <w:t xml:space="preserve">(FELCV) </w:t>
      </w:r>
      <w:r w:rsidRPr="00CB76D8">
        <w:rPr>
          <w:sz w:val="24"/>
          <w:szCs w:val="24"/>
        </w:rPr>
        <w:t>que se</w:t>
      </w:r>
      <w:r w:rsidR="0023300E" w:rsidRPr="00CB76D8">
        <w:rPr>
          <w:sz w:val="24"/>
          <w:szCs w:val="24"/>
        </w:rPr>
        <w:t xml:space="preserve"> indica en el </w:t>
      </w:r>
      <w:r w:rsidR="00CA10E2" w:rsidRPr="00CB76D8">
        <w:rPr>
          <w:sz w:val="24"/>
          <w:szCs w:val="24"/>
        </w:rPr>
        <w:t xml:space="preserve">párrafo 19 de su </w:t>
      </w:r>
      <w:r w:rsidR="0023300E" w:rsidRPr="00CB76D8">
        <w:rPr>
          <w:sz w:val="24"/>
          <w:szCs w:val="24"/>
        </w:rPr>
        <w:t xml:space="preserve">informe? </w:t>
      </w:r>
      <w:r w:rsidRPr="00CB76D8">
        <w:rPr>
          <w:sz w:val="24"/>
          <w:szCs w:val="24"/>
        </w:rPr>
        <w:t>¿De qué manera se garantiza que los porcentajes establecidos en la normativa efectivamente sean in</w:t>
      </w:r>
      <w:r w:rsidR="0023300E" w:rsidRPr="00CB76D8">
        <w:rPr>
          <w:sz w:val="24"/>
          <w:szCs w:val="24"/>
        </w:rPr>
        <w:t>vertidos en su fortalecimiento?</w:t>
      </w:r>
      <w:r w:rsidR="00CB76D8" w:rsidRPr="00CB76D8">
        <w:rPr>
          <w:sz w:val="24"/>
          <w:szCs w:val="24"/>
        </w:rPr>
        <w:t>.</w:t>
      </w:r>
    </w:p>
    <w:p w14:paraId="67C4B3E9" w14:textId="31A2CDE7" w:rsidR="00F62EB9" w:rsidRPr="00CB76D8" w:rsidRDefault="00F62EB9" w:rsidP="00EB0011">
      <w:pPr>
        <w:pStyle w:val="Prrafodelista"/>
        <w:numPr>
          <w:ilvl w:val="0"/>
          <w:numId w:val="1"/>
        </w:numPr>
        <w:jc w:val="both"/>
        <w:rPr>
          <w:sz w:val="24"/>
          <w:szCs w:val="24"/>
        </w:rPr>
      </w:pPr>
      <w:r w:rsidRPr="00CB76D8">
        <w:rPr>
          <w:sz w:val="24"/>
          <w:szCs w:val="24"/>
        </w:rPr>
        <w:lastRenderedPageBreak/>
        <w:t xml:space="preserve">¿Tiene previsto el </w:t>
      </w:r>
      <w:r w:rsidR="006552BF" w:rsidRPr="00CB76D8">
        <w:rPr>
          <w:sz w:val="24"/>
          <w:szCs w:val="24"/>
        </w:rPr>
        <w:t>Estado Parte</w:t>
      </w:r>
      <w:r w:rsidRPr="00CB76D8">
        <w:rPr>
          <w:sz w:val="24"/>
          <w:szCs w:val="24"/>
        </w:rPr>
        <w:t xml:space="preserve"> </w:t>
      </w:r>
      <w:r w:rsidR="006552BF" w:rsidRPr="00CB76D8">
        <w:rPr>
          <w:sz w:val="24"/>
          <w:szCs w:val="24"/>
        </w:rPr>
        <w:t>lanzar un</w:t>
      </w:r>
      <w:r w:rsidR="0023300E" w:rsidRPr="00CB76D8">
        <w:rPr>
          <w:sz w:val="24"/>
          <w:szCs w:val="24"/>
        </w:rPr>
        <w:t>a alerta nacional de violencia?</w:t>
      </w:r>
      <w:r w:rsidR="00E42FA5" w:rsidRPr="00CB76D8">
        <w:rPr>
          <w:sz w:val="24"/>
          <w:szCs w:val="24"/>
        </w:rPr>
        <w:t xml:space="preserve"> ¿cuále</w:t>
      </w:r>
      <w:r w:rsidR="004E4EB5" w:rsidRPr="00CB76D8">
        <w:rPr>
          <w:sz w:val="24"/>
          <w:szCs w:val="24"/>
        </w:rPr>
        <w:t>s son las metas que se propone?</w:t>
      </w:r>
      <w:r w:rsidR="00CB76D8" w:rsidRPr="00CB76D8">
        <w:rPr>
          <w:sz w:val="24"/>
          <w:szCs w:val="24"/>
        </w:rPr>
        <w:t>.</w:t>
      </w:r>
    </w:p>
    <w:p w14:paraId="0036EDBB" w14:textId="4DC1E657" w:rsidR="006552BF" w:rsidRPr="00CB76D8" w:rsidRDefault="006552BF" w:rsidP="00EB0011">
      <w:pPr>
        <w:pStyle w:val="Prrafodelista"/>
        <w:numPr>
          <w:ilvl w:val="0"/>
          <w:numId w:val="1"/>
        </w:numPr>
        <w:jc w:val="both"/>
        <w:rPr>
          <w:sz w:val="24"/>
          <w:szCs w:val="24"/>
        </w:rPr>
      </w:pPr>
      <w:r w:rsidRPr="00CB76D8">
        <w:rPr>
          <w:sz w:val="24"/>
          <w:szCs w:val="24"/>
        </w:rPr>
        <w:t xml:space="preserve">¿El Estado Parte ha determinado las causas del reducido número de procesos que concluyen con sentencia y las razones de las elevadas denuncias que terminan con rechazos?, ¿Qué medidas concretas ha tomado el Estado Parte para reducir la impunidad y con qué </w:t>
      </w:r>
      <w:r w:rsidR="0023300E" w:rsidRPr="00CB76D8">
        <w:rPr>
          <w:sz w:val="24"/>
          <w:szCs w:val="24"/>
        </w:rPr>
        <w:t>resultados?</w:t>
      </w:r>
      <w:r w:rsidR="00CB76D8" w:rsidRPr="00CB76D8">
        <w:rPr>
          <w:sz w:val="24"/>
          <w:szCs w:val="24"/>
        </w:rPr>
        <w:t>.</w:t>
      </w:r>
    </w:p>
    <w:p w14:paraId="564ACA9E" w14:textId="22AE8620" w:rsidR="006552BF" w:rsidRPr="00CB76D8" w:rsidRDefault="006552BF" w:rsidP="00EB0011">
      <w:pPr>
        <w:pStyle w:val="Prrafodelista"/>
        <w:numPr>
          <w:ilvl w:val="0"/>
          <w:numId w:val="1"/>
        </w:numPr>
        <w:jc w:val="both"/>
        <w:rPr>
          <w:sz w:val="24"/>
          <w:szCs w:val="24"/>
        </w:rPr>
      </w:pPr>
      <w:r w:rsidRPr="00CB76D8">
        <w:rPr>
          <w:sz w:val="24"/>
          <w:szCs w:val="24"/>
        </w:rPr>
        <w:t xml:space="preserve">¿Qué medidas </w:t>
      </w:r>
      <w:r w:rsidR="00321325" w:rsidRPr="00CB76D8">
        <w:rPr>
          <w:sz w:val="24"/>
          <w:szCs w:val="24"/>
        </w:rPr>
        <w:t xml:space="preserve">se </w:t>
      </w:r>
      <w:r w:rsidRPr="00CB76D8">
        <w:rPr>
          <w:sz w:val="24"/>
          <w:szCs w:val="24"/>
        </w:rPr>
        <w:t>ha</w:t>
      </w:r>
      <w:r w:rsidR="00321325" w:rsidRPr="00CB76D8">
        <w:rPr>
          <w:sz w:val="24"/>
          <w:szCs w:val="24"/>
        </w:rPr>
        <w:t>n</w:t>
      </w:r>
      <w:r w:rsidRPr="00CB76D8">
        <w:rPr>
          <w:sz w:val="24"/>
          <w:szCs w:val="24"/>
        </w:rPr>
        <w:t xml:space="preserve"> adoptado para que la</w:t>
      </w:r>
      <w:r w:rsidR="003E0001" w:rsidRPr="00CB76D8">
        <w:rPr>
          <w:sz w:val="24"/>
          <w:szCs w:val="24"/>
        </w:rPr>
        <w:t>s</w:t>
      </w:r>
      <w:r w:rsidRPr="00CB76D8">
        <w:rPr>
          <w:sz w:val="24"/>
          <w:szCs w:val="24"/>
        </w:rPr>
        <w:t xml:space="preserve"> investigaciones se realicen con </w:t>
      </w:r>
      <w:r w:rsidR="003E0001" w:rsidRPr="00CB76D8">
        <w:rPr>
          <w:sz w:val="24"/>
          <w:szCs w:val="24"/>
        </w:rPr>
        <w:t>l</w:t>
      </w:r>
      <w:r w:rsidRPr="00CB76D8">
        <w:rPr>
          <w:sz w:val="24"/>
          <w:szCs w:val="24"/>
        </w:rPr>
        <w:t>a debida diligencia?</w:t>
      </w:r>
      <w:r w:rsidR="003E0001" w:rsidRPr="00CB76D8">
        <w:rPr>
          <w:sz w:val="24"/>
          <w:szCs w:val="24"/>
        </w:rPr>
        <w:t xml:space="preserve"> ¿Considera el Estado Parte una prioridad crear laboratorios forense</w:t>
      </w:r>
      <w:r w:rsidR="000B5B47" w:rsidRPr="00CB76D8">
        <w:rPr>
          <w:sz w:val="24"/>
          <w:szCs w:val="24"/>
        </w:rPr>
        <w:t>s</w:t>
      </w:r>
      <w:r w:rsidR="003E0001" w:rsidRPr="00CB76D8">
        <w:rPr>
          <w:sz w:val="24"/>
          <w:szCs w:val="24"/>
        </w:rPr>
        <w:t xml:space="preserve"> en otros departamentos del país además de los dos únicos que concentran esta labo</w:t>
      </w:r>
      <w:r w:rsidR="000B5B47" w:rsidRPr="00CB76D8">
        <w:rPr>
          <w:sz w:val="24"/>
          <w:szCs w:val="24"/>
        </w:rPr>
        <w:t>r?</w:t>
      </w:r>
      <w:r w:rsidR="00CB76D8" w:rsidRPr="00CB76D8">
        <w:rPr>
          <w:sz w:val="24"/>
          <w:szCs w:val="24"/>
        </w:rPr>
        <w:t>.</w:t>
      </w:r>
    </w:p>
    <w:p w14:paraId="0E4BE545" w14:textId="1C5C5065" w:rsidR="003E0001" w:rsidRPr="00CB76D8" w:rsidRDefault="003E0001" w:rsidP="00EB0011">
      <w:pPr>
        <w:pStyle w:val="Prrafodelista"/>
        <w:numPr>
          <w:ilvl w:val="0"/>
          <w:numId w:val="1"/>
        </w:numPr>
        <w:jc w:val="both"/>
        <w:rPr>
          <w:sz w:val="24"/>
          <w:szCs w:val="24"/>
        </w:rPr>
      </w:pPr>
      <w:r w:rsidRPr="00CB76D8">
        <w:rPr>
          <w:sz w:val="24"/>
          <w:szCs w:val="24"/>
        </w:rPr>
        <w:t>¿De qué manera el Estado Parte ha garantizado durante la cuarentena la recepción y atención de las den</w:t>
      </w:r>
      <w:r w:rsidR="004E4EB5" w:rsidRPr="00CB76D8">
        <w:rPr>
          <w:sz w:val="24"/>
          <w:szCs w:val="24"/>
        </w:rPr>
        <w:t>uncias de violencia? ¿s</w:t>
      </w:r>
      <w:r w:rsidRPr="00CB76D8">
        <w:rPr>
          <w:sz w:val="24"/>
          <w:szCs w:val="24"/>
        </w:rPr>
        <w:t xml:space="preserve">e han establecido restricciones </w:t>
      </w:r>
      <w:r w:rsidR="00E42FA5" w:rsidRPr="00CB76D8">
        <w:rPr>
          <w:sz w:val="24"/>
          <w:szCs w:val="24"/>
        </w:rPr>
        <w:t>en</w:t>
      </w:r>
      <w:r w:rsidRPr="00CB76D8">
        <w:rPr>
          <w:sz w:val="24"/>
          <w:szCs w:val="24"/>
        </w:rPr>
        <w:t xml:space="preserve"> la atención de todo tipo de denuncias por violencia durante la cuarentena dispuesta en el </w:t>
      </w:r>
      <w:r w:rsidR="004E4EB5" w:rsidRPr="00CB76D8">
        <w:rPr>
          <w:sz w:val="24"/>
          <w:szCs w:val="24"/>
        </w:rPr>
        <w:t>país? ¿b</w:t>
      </w:r>
      <w:r w:rsidR="000B5B47" w:rsidRPr="00CB76D8">
        <w:rPr>
          <w:sz w:val="24"/>
          <w:szCs w:val="24"/>
        </w:rPr>
        <w:t>ajo qué criterios?</w:t>
      </w:r>
      <w:r w:rsidR="00CB76D8" w:rsidRPr="00CB76D8">
        <w:rPr>
          <w:sz w:val="24"/>
          <w:szCs w:val="24"/>
        </w:rPr>
        <w:t>.</w:t>
      </w:r>
    </w:p>
    <w:p w14:paraId="7DB7B1BB" w14:textId="77777777" w:rsidR="003B0FD6" w:rsidRPr="00CB76D8" w:rsidRDefault="003E0001" w:rsidP="00D06A1A">
      <w:pPr>
        <w:jc w:val="both"/>
        <w:rPr>
          <w:b/>
          <w:sz w:val="24"/>
          <w:szCs w:val="24"/>
        </w:rPr>
      </w:pPr>
      <w:r w:rsidRPr="00CB76D8">
        <w:rPr>
          <w:b/>
          <w:sz w:val="24"/>
          <w:szCs w:val="24"/>
        </w:rPr>
        <w:t>PARTICIPACIÓN EN LA VIDA POLÍTICA Y PÚBLICA</w:t>
      </w:r>
      <w:r w:rsidR="009221D0" w:rsidRPr="00CB76D8">
        <w:rPr>
          <w:b/>
          <w:sz w:val="24"/>
          <w:szCs w:val="24"/>
        </w:rPr>
        <w:t xml:space="preserve"> (Artículo 7 de la CEDAW)</w:t>
      </w:r>
    </w:p>
    <w:p w14:paraId="0B2A420E" w14:textId="7D64F06E" w:rsidR="003E0001" w:rsidRPr="00CB76D8" w:rsidRDefault="003E0001" w:rsidP="00692DC2">
      <w:pPr>
        <w:pStyle w:val="Prrafodelista"/>
        <w:numPr>
          <w:ilvl w:val="0"/>
          <w:numId w:val="17"/>
        </w:numPr>
        <w:jc w:val="both"/>
        <w:rPr>
          <w:rFonts w:cs="Calibri"/>
          <w:color w:val="000000"/>
          <w:sz w:val="24"/>
          <w:szCs w:val="24"/>
          <w:shd w:val="clear" w:color="auto" w:fill="FFFFFF"/>
        </w:rPr>
      </w:pPr>
      <w:r w:rsidRPr="00CB76D8">
        <w:rPr>
          <w:rFonts w:cs="Calibri"/>
          <w:color w:val="000000"/>
          <w:sz w:val="24"/>
          <w:szCs w:val="24"/>
        </w:rPr>
        <w:t xml:space="preserve">A pesar de los avances porcentuales en </w:t>
      </w:r>
      <w:r w:rsidR="003E49F9" w:rsidRPr="00CB76D8">
        <w:rPr>
          <w:rFonts w:cs="Calibri"/>
          <w:color w:val="000000"/>
          <w:sz w:val="24"/>
          <w:szCs w:val="24"/>
          <w:shd w:val="clear" w:color="auto" w:fill="FFFFFF"/>
        </w:rPr>
        <w:t>la presencia paritaria de mujeres en niveles de representación</w:t>
      </w:r>
      <w:r w:rsidR="003E49F9" w:rsidRPr="00CB76D8">
        <w:rPr>
          <w:rFonts w:cs="Calibri"/>
          <w:color w:val="000000"/>
          <w:sz w:val="24"/>
          <w:szCs w:val="24"/>
        </w:rPr>
        <w:t xml:space="preserve">, ellas </w:t>
      </w:r>
      <w:r w:rsidRPr="00CB76D8">
        <w:rPr>
          <w:rFonts w:cs="Calibri"/>
          <w:color w:val="000000"/>
          <w:sz w:val="24"/>
          <w:szCs w:val="24"/>
        </w:rPr>
        <w:t>continúan viendo afectados</w:t>
      </w:r>
      <w:r w:rsidR="00765E42" w:rsidRPr="00CB76D8">
        <w:rPr>
          <w:rFonts w:cs="Calibri"/>
          <w:color w:val="000000"/>
          <w:sz w:val="24"/>
          <w:szCs w:val="24"/>
        </w:rPr>
        <w:t xml:space="preserve"> sus derechos, un claro ejemplo</w:t>
      </w:r>
      <w:r w:rsidRPr="00CB76D8">
        <w:rPr>
          <w:rFonts w:cs="Calibri"/>
          <w:color w:val="000000"/>
          <w:sz w:val="24"/>
          <w:szCs w:val="24"/>
        </w:rPr>
        <w:t xml:space="preserve"> es e</w:t>
      </w:r>
      <w:r w:rsidR="00765E42" w:rsidRPr="00CB76D8">
        <w:rPr>
          <w:rFonts w:cs="Calibri"/>
          <w:color w:val="000000"/>
          <w:sz w:val="24"/>
          <w:szCs w:val="24"/>
        </w:rPr>
        <w:t>l acoso y violencia política</w:t>
      </w:r>
      <w:r w:rsidR="003E49F9" w:rsidRPr="00CB76D8">
        <w:rPr>
          <w:rFonts w:cs="Calibri"/>
          <w:color w:val="000000"/>
          <w:sz w:val="24"/>
          <w:szCs w:val="24"/>
        </w:rPr>
        <w:t xml:space="preserve"> (AVP)</w:t>
      </w:r>
      <w:r w:rsidR="00765E42" w:rsidRPr="00CB76D8">
        <w:rPr>
          <w:rFonts w:cs="Calibri"/>
          <w:color w:val="000000"/>
          <w:sz w:val="24"/>
          <w:szCs w:val="24"/>
        </w:rPr>
        <w:t xml:space="preserve"> </w:t>
      </w:r>
      <w:r w:rsidRPr="00CB76D8">
        <w:rPr>
          <w:rFonts w:cs="Calibri"/>
          <w:color w:val="000000"/>
          <w:sz w:val="24"/>
          <w:szCs w:val="24"/>
        </w:rPr>
        <w:t xml:space="preserve">que enfrentan en la función pública. Hasta el mes de noviembre de 2018, </w:t>
      </w:r>
      <w:r w:rsidR="00765E42" w:rsidRPr="00CB76D8">
        <w:rPr>
          <w:rFonts w:cs="Calibri"/>
          <w:color w:val="000000"/>
          <w:sz w:val="24"/>
          <w:szCs w:val="24"/>
        </w:rPr>
        <w:t>la Asociación de Concejalas de Bolivia (</w:t>
      </w:r>
      <w:r w:rsidRPr="00CB76D8">
        <w:rPr>
          <w:rFonts w:cs="Calibri"/>
          <w:color w:val="000000"/>
          <w:sz w:val="24"/>
          <w:szCs w:val="24"/>
        </w:rPr>
        <w:t>ACOBOL</w:t>
      </w:r>
      <w:r w:rsidR="00765E42" w:rsidRPr="00CB76D8">
        <w:rPr>
          <w:rFonts w:cs="Calibri"/>
          <w:color w:val="000000"/>
          <w:sz w:val="24"/>
          <w:szCs w:val="24"/>
        </w:rPr>
        <w:t>)</w:t>
      </w:r>
      <w:r w:rsidRPr="00CB76D8">
        <w:rPr>
          <w:rFonts w:cs="Calibri"/>
          <w:color w:val="000000"/>
          <w:sz w:val="24"/>
          <w:szCs w:val="24"/>
        </w:rPr>
        <w:t xml:space="preserve"> registró 113 denuncias de acoso y violencia política contra concejalas</w:t>
      </w:r>
      <w:r w:rsidRPr="00CB76D8">
        <w:rPr>
          <w:rStyle w:val="Refdenotaalpie"/>
          <w:rFonts w:cs="Calibri"/>
          <w:color w:val="000000"/>
          <w:sz w:val="24"/>
          <w:szCs w:val="24"/>
        </w:rPr>
        <w:footnoteReference w:id="10"/>
      </w:r>
      <w:r w:rsidRPr="00CB76D8">
        <w:rPr>
          <w:rFonts w:cs="Calibri"/>
          <w:color w:val="000000"/>
          <w:sz w:val="24"/>
          <w:szCs w:val="24"/>
        </w:rPr>
        <w:t xml:space="preserve">. Entre enero y septiembre del mismo año </w:t>
      </w:r>
      <w:r w:rsidRPr="00CB76D8">
        <w:rPr>
          <w:rFonts w:cs="Calibri"/>
          <w:color w:val="000000"/>
          <w:sz w:val="24"/>
          <w:szCs w:val="24"/>
          <w:shd w:val="clear" w:color="auto" w:fill="FFFFFF"/>
        </w:rPr>
        <w:t>se presentaron 90 denuncias y renuncias por acoso y violencia política ante el Órgano Electoral Plurinacional que fueron puestas en cono</w:t>
      </w:r>
      <w:r w:rsidR="003E49F9" w:rsidRPr="00CB76D8">
        <w:rPr>
          <w:rFonts w:cs="Calibri"/>
          <w:color w:val="000000"/>
          <w:sz w:val="24"/>
          <w:szCs w:val="24"/>
          <w:shd w:val="clear" w:color="auto" w:fill="FFFFFF"/>
        </w:rPr>
        <w:t xml:space="preserve">cimiento del Ministerio Público; </w:t>
      </w:r>
      <w:r w:rsidR="003E49F9" w:rsidRPr="00CB76D8">
        <w:rPr>
          <w:rFonts w:cs="Calibri"/>
          <w:color w:val="000000"/>
          <w:sz w:val="24"/>
          <w:szCs w:val="24"/>
        </w:rPr>
        <w:t>6 de cada 10 Asambleístas P</w:t>
      </w:r>
      <w:r w:rsidR="00185E05" w:rsidRPr="00CB76D8">
        <w:rPr>
          <w:rFonts w:cs="Calibri"/>
          <w:color w:val="000000"/>
          <w:sz w:val="24"/>
          <w:szCs w:val="24"/>
        </w:rPr>
        <w:t xml:space="preserve">lurinacionales han vivido alguna forma de </w:t>
      </w:r>
      <w:r w:rsidR="003E49F9" w:rsidRPr="00CB76D8">
        <w:rPr>
          <w:rFonts w:cs="Calibri"/>
          <w:color w:val="000000"/>
          <w:sz w:val="24"/>
          <w:szCs w:val="24"/>
        </w:rPr>
        <w:t xml:space="preserve">AVP. </w:t>
      </w:r>
      <w:r w:rsidRPr="00CB76D8">
        <w:rPr>
          <w:rFonts w:cs="Calibri"/>
          <w:color w:val="000000"/>
          <w:sz w:val="24"/>
          <w:szCs w:val="24"/>
          <w:shd w:val="clear" w:color="auto" w:fill="FFFFFF"/>
        </w:rPr>
        <w:t>No se conoce ningún caso con sentencia condenatoria. Por otra parte, un escenario propicio para estos actos, como ha identificado por el propio Órgano Electoral</w:t>
      </w:r>
      <w:r w:rsidR="00765E42" w:rsidRPr="00CB76D8">
        <w:rPr>
          <w:rFonts w:cs="Calibri"/>
          <w:color w:val="000000"/>
          <w:sz w:val="24"/>
          <w:szCs w:val="24"/>
          <w:shd w:val="clear" w:color="auto" w:fill="FFFFFF"/>
        </w:rPr>
        <w:t>,</w:t>
      </w:r>
      <w:r w:rsidRPr="00CB76D8">
        <w:rPr>
          <w:rFonts w:cs="Calibri"/>
          <w:color w:val="000000"/>
          <w:sz w:val="24"/>
          <w:szCs w:val="24"/>
          <w:shd w:val="clear" w:color="auto" w:fill="FFFFFF"/>
        </w:rPr>
        <w:t xml:space="preserve"> son los acuerdos ilegales para alternar sus mandatos con sus suplentes hombres, afectando así la composición paritaria de los órganos que integran</w:t>
      </w:r>
      <w:r w:rsidR="00A5404F" w:rsidRPr="00CB76D8">
        <w:rPr>
          <w:rFonts w:cs="Calibri"/>
          <w:color w:val="000000"/>
          <w:sz w:val="24"/>
          <w:szCs w:val="24"/>
          <w:shd w:val="clear" w:color="auto" w:fill="FFFFFF"/>
        </w:rPr>
        <w:t>.</w:t>
      </w:r>
    </w:p>
    <w:p w14:paraId="13C9ED33" w14:textId="74574A68" w:rsidR="00185E05" w:rsidRDefault="003E49F9" w:rsidP="00692DC2">
      <w:pPr>
        <w:pStyle w:val="Prrafodelista"/>
        <w:numPr>
          <w:ilvl w:val="0"/>
          <w:numId w:val="17"/>
        </w:numPr>
        <w:jc w:val="both"/>
        <w:rPr>
          <w:rFonts w:cs="Calibri"/>
          <w:color w:val="000000"/>
          <w:sz w:val="24"/>
          <w:szCs w:val="24"/>
          <w:shd w:val="clear" w:color="auto" w:fill="FFFFFF"/>
        </w:rPr>
      </w:pPr>
      <w:r w:rsidRPr="00CB76D8">
        <w:rPr>
          <w:rFonts w:cs="Calibri"/>
          <w:color w:val="000000"/>
          <w:sz w:val="24"/>
          <w:szCs w:val="24"/>
          <w:shd w:val="clear" w:color="auto" w:fill="FFFFFF"/>
        </w:rPr>
        <w:t>E</w:t>
      </w:r>
      <w:r w:rsidR="00185E05" w:rsidRPr="00CB76D8">
        <w:rPr>
          <w:rFonts w:cs="Calibri"/>
          <w:color w:val="000000"/>
          <w:sz w:val="24"/>
          <w:szCs w:val="24"/>
          <w:shd w:val="clear" w:color="auto" w:fill="FFFFFF"/>
        </w:rPr>
        <w:t>n las elecciones nacionales de 2019, el Tribunal Supremo Electoral no aseguró el cumplimiento de los criterios de pa</w:t>
      </w:r>
      <w:r w:rsidRPr="00CB76D8">
        <w:rPr>
          <w:rFonts w:cs="Calibri"/>
          <w:color w:val="000000"/>
          <w:sz w:val="24"/>
          <w:szCs w:val="24"/>
          <w:shd w:val="clear" w:color="auto" w:fill="FFFFFF"/>
        </w:rPr>
        <w:t>ridad previstos en la normativa</w:t>
      </w:r>
      <w:r w:rsidR="00185E05" w:rsidRPr="00CB76D8">
        <w:rPr>
          <w:rFonts w:cs="Calibri"/>
          <w:color w:val="000000"/>
          <w:sz w:val="24"/>
          <w:szCs w:val="24"/>
          <w:shd w:val="clear" w:color="auto" w:fill="FFFFFF"/>
        </w:rPr>
        <w:t xml:space="preserve"> </w:t>
      </w:r>
      <w:r w:rsidR="007C479C" w:rsidRPr="00CB76D8">
        <w:rPr>
          <w:rFonts w:cs="Calibri"/>
          <w:color w:val="000000"/>
          <w:sz w:val="24"/>
          <w:szCs w:val="24"/>
          <w:shd w:val="clear" w:color="auto" w:fill="FFFFFF"/>
        </w:rPr>
        <w:t xml:space="preserve">por parte de las organizaciones políticas, </w:t>
      </w:r>
      <w:r w:rsidR="00185E05" w:rsidRPr="00CB76D8">
        <w:rPr>
          <w:rFonts w:cs="Calibri"/>
          <w:color w:val="000000"/>
          <w:sz w:val="24"/>
          <w:szCs w:val="24"/>
          <w:shd w:val="clear" w:color="auto" w:fill="FFFFFF"/>
        </w:rPr>
        <w:t xml:space="preserve">desconociendo </w:t>
      </w:r>
      <w:r w:rsidR="007C479C" w:rsidRPr="00CB76D8">
        <w:rPr>
          <w:rFonts w:cs="Calibri"/>
          <w:color w:val="000000"/>
          <w:sz w:val="24"/>
          <w:szCs w:val="24"/>
          <w:shd w:val="clear" w:color="auto" w:fill="FFFFFF"/>
        </w:rPr>
        <w:t xml:space="preserve">su </w:t>
      </w:r>
      <w:r w:rsidR="00185E05" w:rsidRPr="00CB76D8">
        <w:rPr>
          <w:rFonts w:cs="Calibri"/>
          <w:color w:val="000000"/>
          <w:sz w:val="24"/>
          <w:szCs w:val="24"/>
          <w:shd w:val="clear" w:color="auto" w:fill="FFFFFF"/>
        </w:rPr>
        <w:t xml:space="preserve">mandato legal de velar el cumplimiento de la paridad </w:t>
      </w:r>
      <w:r w:rsidR="007C479C" w:rsidRPr="00CB76D8">
        <w:rPr>
          <w:rFonts w:cs="Calibri"/>
          <w:color w:val="000000"/>
          <w:sz w:val="24"/>
          <w:szCs w:val="24"/>
          <w:shd w:val="clear" w:color="auto" w:fill="FFFFFF"/>
        </w:rPr>
        <w:t xml:space="preserve">en todas </w:t>
      </w:r>
      <w:r w:rsidRPr="00CB76D8">
        <w:rPr>
          <w:rFonts w:cs="Calibri"/>
          <w:color w:val="000000"/>
          <w:sz w:val="24"/>
          <w:szCs w:val="24"/>
          <w:shd w:val="clear" w:color="auto" w:fill="FFFFFF"/>
        </w:rPr>
        <w:t>las fases del proceso electoral</w:t>
      </w:r>
      <w:r w:rsidR="00D34B1A" w:rsidRPr="00CB76D8">
        <w:rPr>
          <w:rStyle w:val="Refdenotaalpie"/>
          <w:rFonts w:cs="Calibri"/>
          <w:color w:val="000000"/>
          <w:sz w:val="24"/>
          <w:szCs w:val="24"/>
          <w:shd w:val="clear" w:color="auto" w:fill="FFFFFF"/>
        </w:rPr>
        <w:footnoteReference w:id="11"/>
      </w:r>
      <w:r w:rsidRPr="00CB76D8">
        <w:rPr>
          <w:rFonts w:cs="Calibri"/>
          <w:color w:val="000000"/>
          <w:sz w:val="24"/>
          <w:szCs w:val="24"/>
          <w:shd w:val="clear" w:color="auto" w:fill="FFFFFF"/>
        </w:rPr>
        <w:t>, asimismo, las organizaciones políticas han realizado escasas menciones a la igualdad de género en sus propuestas programáticas.</w:t>
      </w:r>
    </w:p>
    <w:p w14:paraId="0FF20B33" w14:textId="77777777" w:rsidR="00342D01" w:rsidRPr="00CB76D8" w:rsidRDefault="00342D01" w:rsidP="00342D01">
      <w:pPr>
        <w:pStyle w:val="Prrafodelista"/>
        <w:ind w:left="360"/>
        <w:jc w:val="both"/>
        <w:rPr>
          <w:rFonts w:cs="Calibri"/>
          <w:color w:val="000000"/>
          <w:sz w:val="24"/>
          <w:szCs w:val="24"/>
          <w:shd w:val="clear" w:color="auto" w:fill="FFFFFF"/>
        </w:rPr>
      </w:pPr>
    </w:p>
    <w:p w14:paraId="6F34D4F2" w14:textId="77777777" w:rsidR="00A5404F" w:rsidRPr="00CB76D8" w:rsidRDefault="00A5404F" w:rsidP="00A5404F">
      <w:pPr>
        <w:jc w:val="both"/>
        <w:rPr>
          <w:b/>
          <w:i/>
          <w:sz w:val="24"/>
          <w:szCs w:val="24"/>
        </w:rPr>
      </w:pPr>
      <w:r w:rsidRPr="00CB76D8">
        <w:rPr>
          <w:rFonts w:cs="Calibri"/>
          <w:b/>
          <w:i/>
          <w:color w:val="000000"/>
          <w:sz w:val="24"/>
          <w:szCs w:val="24"/>
        </w:rPr>
        <w:t>Sugerencias de cuestiones:</w:t>
      </w:r>
    </w:p>
    <w:p w14:paraId="58DA3B27" w14:textId="3372FACB" w:rsidR="002E1239" w:rsidRPr="00CB76D8" w:rsidRDefault="00A5404F" w:rsidP="00EB0011">
      <w:pPr>
        <w:pStyle w:val="Prrafodelista"/>
        <w:numPr>
          <w:ilvl w:val="0"/>
          <w:numId w:val="8"/>
        </w:numPr>
        <w:jc w:val="both"/>
        <w:rPr>
          <w:sz w:val="24"/>
          <w:szCs w:val="24"/>
        </w:rPr>
      </w:pPr>
      <w:r w:rsidRPr="00CB76D8">
        <w:rPr>
          <w:sz w:val="24"/>
          <w:szCs w:val="24"/>
        </w:rPr>
        <w:t xml:space="preserve">¿Qué acciones concretas se han adoptado para </w:t>
      </w:r>
      <w:r w:rsidR="00765E42" w:rsidRPr="00CB76D8">
        <w:rPr>
          <w:sz w:val="24"/>
          <w:szCs w:val="24"/>
        </w:rPr>
        <w:t xml:space="preserve">garantizar </w:t>
      </w:r>
      <w:r w:rsidR="006731EB" w:rsidRPr="00CB76D8">
        <w:rPr>
          <w:sz w:val="24"/>
          <w:szCs w:val="24"/>
        </w:rPr>
        <w:t>el ejercicio pleno de las fu</w:t>
      </w:r>
      <w:r w:rsidR="002E1239" w:rsidRPr="00CB76D8">
        <w:rPr>
          <w:sz w:val="24"/>
          <w:szCs w:val="24"/>
        </w:rPr>
        <w:t xml:space="preserve">nciones de las mujeres elegidas para ocupar cargos en las distintas instancias del </w:t>
      </w:r>
      <w:r w:rsidR="006552BF" w:rsidRPr="00CB76D8">
        <w:rPr>
          <w:sz w:val="24"/>
          <w:szCs w:val="24"/>
        </w:rPr>
        <w:t>Estado Parte</w:t>
      </w:r>
      <w:r w:rsidR="00765E42" w:rsidRPr="00CB76D8">
        <w:rPr>
          <w:sz w:val="24"/>
          <w:szCs w:val="24"/>
        </w:rPr>
        <w:t>?</w:t>
      </w:r>
      <w:r w:rsidR="00CB76D8" w:rsidRPr="00CB76D8">
        <w:rPr>
          <w:sz w:val="24"/>
          <w:szCs w:val="24"/>
        </w:rPr>
        <w:t>.</w:t>
      </w:r>
    </w:p>
    <w:p w14:paraId="471C2F18" w14:textId="5D0BFC9C" w:rsidR="002E1239" w:rsidRPr="00CB76D8" w:rsidRDefault="00A5404F" w:rsidP="00EB0011">
      <w:pPr>
        <w:pStyle w:val="Prrafodelista"/>
        <w:numPr>
          <w:ilvl w:val="0"/>
          <w:numId w:val="8"/>
        </w:numPr>
        <w:jc w:val="both"/>
        <w:rPr>
          <w:rFonts w:cs="Calibri"/>
          <w:color w:val="000000"/>
          <w:sz w:val="24"/>
          <w:szCs w:val="24"/>
          <w:shd w:val="clear" w:color="auto" w:fill="FFFFFF"/>
        </w:rPr>
      </w:pPr>
      <w:r w:rsidRPr="00CB76D8">
        <w:rPr>
          <w:sz w:val="24"/>
          <w:szCs w:val="24"/>
        </w:rPr>
        <w:t>¿</w:t>
      </w:r>
      <w:r w:rsidR="00BB5732" w:rsidRPr="00CB76D8">
        <w:rPr>
          <w:sz w:val="24"/>
          <w:szCs w:val="24"/>
        </w:rPr>
        <w:t>Con q</w:t>
      </w:r>
      <w:r w:rsidRPr="00CB76D8">
        <w:rPr>
          <w:sz w:val="24"/>
          <w:szCs w:val="24"/>
        </w:rPr>
        <w:t xml:space="preserve">ué medidas se </w:t>
      </w:r>
      <w:r w:rsidR="00BB5732" w:rsidRPr="00CB76D8">
        <w:rPr>
          <w:sz w:val="24"/>
          <w:szCs w:val="24"/>
        </w:rPr>
        <w:t xml:space="preserve">cuenta </w:t>
      </w:r>
      <w:r w:rsidRPr="00CB76D8">
        <w:rPr>
          <w:sz w:val="24"/>
          <w:szCs w:val="24"/>
        </w:rPr>
        <w:t>para que</w:t>
      </w:r>
      <w:r w:rsidR="00765E42" w:rsidRPr="00CB76D8">
        <w:rPr>
          <w:sz w:val="24"/>
          <w:szCs w:val="24"/>
        </w:rPr>
        <w:t>,</w:t>
      </w:r>
      <w:r w:rsidRPr="00CB76D8">
        <w:rPr>
          <w:sz w:val="24"/>
          <w:szCs w:val="24"/>
        </w:rPr>
        <w:t xml:space="preserve"> en el marco de las próximas elecciones</w:t>
      </w:r>
      <w:r w:rsidR="00765E42" w:rsidRPr="00CB76D8">
        <w:rPr>
          <w:sz w:val="24"/>
          <w:szCs w:val="24"/>
        </w:rPr>
        <w:t xml:space="preserve">, </w:t>
      </w:r>
      <w:r w:rsidRPr="00CB76D8">
        <w:rPr>
          <w:sz w:val="24"/>
          <w:szCs w:val="24"/>
        </w:rPr>
        <w:t xml:space="preserve">no se suscriban </w:t>
      </w:r>
      <w:r w:rsidR="00EB3D63" w:rsidRPr="00CB76D8">
        <w:rPr>
          <w:rFonts w:cs="Calibri"/>
          <w:color w:val="000000"/>
          <w:sz w:val="24"/>
          <w:szCs w:val="24"/>
          <w:shd w:val="clear" w:color="auto" w:fill="FFFFFF"/>
        </w:rPr>
        <w:t xml:space="preserve">acuerdos ilegales para </w:t>
      </w:r>
      <w:r w:rsidR="002E1239" w:rsidRPr="00CB76D8">
        <w:rPr>
          <w:rFonts w:cs="Calibri"/>
          <w:color w:val="000000"/>
          <w:sz w:val="24"/>
          <w:szCs w:val="24"/>
          <w:shd w:val="clear" w:color="auto" w:fill="FFFFFF"/>
        </w:rPr>
        <w:t>que las mujeres alteren</w:t>
      </w:r>
      <w:r w:rsidR="00EB3D63" w:rsidRPr="00CB76D8">
        <w:rPr>
          <w:rFonts w:cs="Calibri"/>
          <w:color w:val="000000"/>
          <w:sz w:val="24"/>
          <w:szCs w:val="24"/>
          <w:shd w:val="clear" w:color="auto" w:fill="FFFFFF"/>
        </w:rPr>
        <w:t xml:space="preserve"> </w:t>
      </w:r>
      <w:r w:rsidRPr="00CB76D8">
        <w:rPr>
          <w:rFonts w:cs="Calibri"/>
          <w:color w:val="000000"/>
          <w:sz w:val="24"/>
          <w:szCs w:val="24"/>
          <w:shd w:val="clear" w:color="auto" w:fill="FFFFFF"/>
        </w:rPr>
        <w:t xml:space="preserve">(acorten) </w:t>
      </w:r>
      <w:r w:rsidR="00EB3D63" w:rsidRPr="00CB76D8">
        <w:rPr>
          <w:rFonts w:cs="Calibri"/>
          <w:color w:val="000000"/>
          <w:sz w:val="24"/>
          <w:szCs w:val="24"/>
          <w:shd w:val="clear" w:color="auto" w:fill="FFFFFF"/>
        </w:rPr>
        <w:t>sus mandatos con sus suplentes hombres</w:t>
      </w:r>
      <w:r w:rsidR="00765E42" w:rsidRPr="00CB76D8">
        <w:rPr>
          <w:rFonts w:cs="Calibri"/>
          <w:color w:val="000000"/>
          <w:sz w:val="24"/>
          <w:szCs w:val="24"/>
          <w:shd w:val="clear" w:color="auto" w:fill="FFFFFF"/>
        </w:rPr>
        <w:t xml:space="preserve">, </w:t>
      </w:r>
      <w:r w:rsidR="00EB3D63" w:rsidRPr="00CB76D8">
        <w:rPr>
          <w:rFonts w:cs="Calibri"/>
          <w:color w:val="000000"/>
          <w:sz w:val="24"/>
          <w:szCs w:val="24"/>
          <w:shd w:val="clear" w:color="auto" w:fill="FFFFFF"/>
        </w:rPr>
        <w:t>afectando así la composición paritaria de los órganos que integran, hecho identificado por el propio</w:t>
      </w:r>
      <w:r w:rsidRPr="00CB76D8">
        <w:rPr>
          <w:rFonts w:cs="Calibri"/>
          <w:color w:val="000000"/>
          <w:sz w:val="24"/>
          <w:szCs w:val="24"/>
          <w:shd w:val="clear" w:color="auto" w:fill="FFFFFF"/>
        </w:rPr>
        <w:t xml:space="preserve"> Órgan</w:t>
      </w:r>
      <w:r w:rsidR="00765E42" w:rsidRPr="00CB76D8">
        <w:rPr>
          <w:rFonts w:cs="Calibri"/>
          <w:color w:val="000000"/>
          <w:sz w:val="24"/>
          <w:szCs w:val="24"/>
          <w:shd w:val="clear" w:color="auto" w:fill="FFFFFF"/>
        </w:rPr>
        <w:t>o Electoral Plurinacional?</w:t>
      </w:r>
      <w:r w:rsidR="00CB76D8" w:rsidRPr="00CB76D8">
        <w:rPr>
          <w:rFonts w:cs="Calibri"/>
          <w:color w:val="000000"/>
          <w:sz w:val="24"/>
          <w:szCs w:val="24"/>
          <w:shd w:val="clear" w:color="auto" w:fill="FFFFFF"/>
        </w:rPr>
        <w:t>.</w:t>
      </w:r>
    </w:p>
    <w:p w14:paraId="1F478316" w14:textId="2FE6D5B9" w:rsidR="00A5404F" w:rsidRPr="00CB76D8" w:rsidRDefault="00A5404F" w:rsidP="00EB0011">
      <w:pPr>
        <w:pStyle w:val="Prrafodelista"/>
        <w:numPr>
          <w:ilvl w:val="0"/>
          <w:numId w:val="8"/>
        </w:numPr>
        <w:jc w:val="both"/>
        <w:rPr>
          <w:sz w:val="24"/>
          <w:szCs w:val="24"/>
        </w:rPr>
      </w:pPr>
      <w:r w:rsidRPr="00CB76D8">
        <w:rPr>
          <w:sz w:val="24"/>
          <w:szCs w:val="24"/>
        </w:rPr>
        <w:t xml:space="preserve">¿Qué medidas </w:t>
      </w:r>
      <w:r w:rsidR="00BB5732" w:rsidRPr="00CB76D8">
        <w:rPr>
          <w:sz w:val="24"/>
          <w:szCs w:val="24"/>
        </w:rPr>
        <w:t xml:space="preserve">existen </w:t>
      </w:r>
      <w:r w:rsidRPr="00CB76D8">
        <w:rPr>
          <w:sz w:val="24"/>
          <w:szCs w:val="24"/>
        </w:rPr>
        <w:t>para el c</w:t>
      </w:r>
      <w:r w:rsidR="006731EB" w:rsidRPr="00CB76D8">
        <w:rPr>
          <w:sz w:val="24"/>
          <w:szCs w:val="24"/>
        </w:rPr>
        <w:t>umplimiento de la Ley de Organizaciones políticas en el cumplimiento de la paridad y alternancia para la elección de candidatas y can</w:t>
      </w:r>
      <w:r w:rsidR="002E1239" w:rsidRPr="00CB76D8">
        <w:rPr>
          <w:sz w:val="24"/>
          <w:szCs w:val="24"/>
        </w:rPr>
        <w:t>didatos en tiempos electorales</w:t>
      </w:r>
      <w:r w:rsidRPr="00CB76D8">
        <w:rPr>
          <w:sz w:val="24"/>
          <w:szCs w:val="24"/>
        </w:rPr>
        <w:t>?</w:t>
      </w:r>
      <w:r w:rsidR="00CB76D8" w:rsidRPr="00CB76D8">
        <w:rPr>
          <w:sz w:val="24"/>
          <w:szCs w:val="24"/>
        </w:rPr>
        <w:t>.</w:t>
      </w:r>
    </w:p>
    <w:p w14:paraId="7A5935D9" w14:textId="59DB2A5D" w:rsidR="00D34B1A" w:rsidRPr="00342D01" w:rsidRDefault="003E49F9" w:rsidP="003E49F9">
      <w:pPr>
        <w:pStyle w:val="Prrafodelista"/>
        <w:numPr>
          <w:ilvl w:val="0"/>
          <w:numId w:val="8"/>
        </w:numPr>
        <w:jc w:val="both"/>
        <w:rPr>
          <w:sz w:val="24"/>
          <w:szCs w:val="24"/>
        </w:rPr>
      </w:pPr>
      <w:r w:rsidRPr="00342D01">
        <w:rPr>
          <w:sz w:val="24"/>
          <w:szCs w:val="24"/>
        </w:rPr>
        <w:t xml:space="preserve">¿Existen denuncias por acoso y violencia política contra mujeres que hayan concluido con sentencia?, </w:t>
      </w:r>
      <w:r w:rsidR="00A5404F" w:rsidRPr="00342D01">
        <w:rPr>
          <w:sz w:val="24"/>
          <w:szCs w:val="24"/>
        </w:rPr>
        <w:t xml:space="preserve">¿Qué </w:t>
      </w:r>
      <w:r w:rsidR="00BB5732" w:rsidRPr="00342D01">
        <w:rPr>
          <w:sz w:val="24"/>
          <w:szCs w:val="24"/>
        </w:rPr>
        <w:t xml:space="preserve">políticas se </w:t>
      </w:r>
      <w:r w:rsidR="00A5404F" w:rsidRPr="00342D01">
        <w:rPr>
          <w:sz w:val="24"/>
          <w:szCs w:val="24"/>
        </w:rPr>
        <w:t>han adop</w:t>
      </w:r>
      <w:r w:rsidR="00765E42" w:rsidRPr="00342D01">
        <w:rPr>
          <w:sz w:val="24"/>
          <w:szCs w:val="24"/>
        </w:rPr>
        <w:t>tado para garantizar el acceso a la justicia de</w:t>
      </w:r>
      <w:r w:rsidR="00A5404F" w:rsidRPr="00342D01">
        <w:rPr>
          <w:sz w:val="24"/>
          <w:szCs w:val="24"/>
        </w:rPr>
        <w:t xml:space="preserve"> las víctimas de acoso y violencia política</w:t>
      </w:r>
      <w:r w:rsidR="00692DC2">
        <w:rPr>
          <w:sz w:val="24"/>
          <w:szCs w:val="24"/>
        </w:rPr>
        <w:t xml:space="preserve"> contra las mujeres</w:t>
      </w:r>
      <w:r w:rsidR="00A5404F" w:rsidRPr="00342D01">
        <w:rPr>
          <w:sz w:val="24"/>
          <w:szCs w:val="24"/>
        </w:rPr>
        <w:t>?</w:t>
      </w:r>
      <w:r w:rsidR="00CB76D8" w:rsidRPr="00342D01">
        <w:rPr>
          <w:sz w:val="24"/>
          <w:szCs w:val="24"/>
        </w:rPr>
        <w:t>.</w:t>
      </w:r>
    </w:p>
    <w:p w14:paraId="75608A63" w14:textId="70420D51" w:rsidR="000967CC" w:rsidRPr="00CB76D8" w:rsidRDefault="00766E1B" w:rsidP="00EB0011">
      <w:pPr>
        <w:pStyle w:val="Prrafodelista"/>
        <w:numPr>
          <w:ilvl w:val="0"/>
          <w:numId w:val="8"/>
        </w:numPr>
        <w:jc w:val="both"/>
        <w:rPr>
          <w:sz w:val="24"/>
          <w:szCs w:val="24"/>
        </w:rPr>
      </w:pPr>
      <w:r w:rsidRPr="00CB76D8">
        <w:rPr>
          <w:sz w:val="24"/>
          <w:szCs w:val="24"/>
        </w:rPr>
        <w:t>¿De qué manera el Estado prom</w:t>
      </w:r>
      <w:r w:rsidR="003E49F9" w:rsidRPr="00CB76D8">
        <w:rPr>
          <w:sz w:val="24"/>
          <w:szCs w:val="24"/>
        </w:rPr>
        <w:t>ueve que la igualdad de género se debata</w:t>
      </w:r>
      <w:r w:rsidRPr="00CB76D8">
        <w:rPr>
          <w:sz w:val="24"/>
          <w:szCs w:val="24"/>
        </w:rPr>
        <w:t xml:space="preserve"> en espacios públicos</w:t>
      </w:r>
      <w:r w:rsidR="003E49F9" w:rsidRPr="00CB76D8">
        <w:rPr>
          <w:sz w:val="24"/>
          <w:szCs w:val="24"/>
        </w:rPr>
        <w:t>,</w:t>
      </w:r>
      <w:r w:rsidRPr="00CB76D8">
        <w:rPr>
          <w:sz w:val="24"/>
          <w:szCs w:val="24"/>
        </w:rPr>
        <w:t xml:space="preserve"> y fundamentalmente entre organizaciones y actores políticos en los procesos electorales?</w:t>
      </w:r>
      <w:r w:rsidR="00CB76D8" w:rsidRPr="00CB76D8">
        <w:rPr>
          <w:sz w:val="24"/>
          <w:szCs w:val="24"/>
        </w:rPr>
        <w:t>.</w:t>
      </w:r>
    </w:p>
    <w:p w14:paraId="2EF138B4" w14:textId="77777777" w:rsidR="003B0FD6" w:rsidRPr="00CB76D8" w:rsidRDefault="00A35FFF" w:rsidP="00D06A1A">
      <w:pPr>
        <w:jc w:val="both"/>
        <w:rPr>
          <w:b/>
          <w:sz w:val="24"/>
          <w:szCs w:val="24"/>
        </w:rPr>
      </w:pPr>
      <w:r w:rsidRPr="00CB76D8">
        <w:rPr>
          <w:b/>
          <w:sz w:val="24"/>
          <w:szCs w:val="24"/>
        </w:rPr>
        <w:t>EDUCACIÓN</w:t>
      </w:r>
      <w:r w:rsidR="009221D0" w:rsidRPr="00CB76D8">
        <w:rPr>
          <w:b/>
          <w:sz w:val="24"/>
          <w:szCs w:val="24"/>
        </w:rPr>
        <w:t xml:space="preserve"> (Artículo 10 de la CEDAW)</w:t>
      </w:r>
    </w:p>
    <w:p w14:paraId="77191E57" w14:textId="2046AD7A" w:rsidR="002E1239" w:rsidRPr="00CB76D8" w:rsidRDefault="006C71E1" w:rsidP="00692DC2">
      <w:pPr>
        <w:pStyle w:val="Prrafodelista"/>
        <w:numPr>
          <w:ilvl w:val="0"/>
          <w:numId w:val="17"/>
        </w:numPr>
        <w:autoSpaceDE w:val="0"/>
        <w:autoSpaceDN w:val="0"/>
        <w:adjustRightInd w:val="0"/>
        <w:spacing w:after="0"/>
        <w:jc w:val="both"/>
        <w:rPr>
          <w:sz w:val="24"/>
          <w:szCs w:val="24"/>
        </w:rPr>
      </w:pPr>
      <w:r w:rsidRPr="00CB76D8">
        <w:rPr>
          <w:sz w:val="24"/>
          <w:szCs w:val="24"/>
        </w:rPr>
        <w:t>En el informe p</w:t>
      </w:r>
      <w:r w:rsidR="002E1239" w:rsidRPr="00CB76D8">
        <w:rPr>
          <w:sz w:val="24"/>
          <w:szCs w:val="24"/>
        </w:rPr>
        <w:t>resentado</w:t>
      </w:r>
      <w:r w:rsidR="00A35FFF" w:rsidRPr="00CB76D8">
        <w:rPr>
          <w:sz w:val="24"/>
          <w:szCs w:val="24"/>
        </w:rPr>
        <w:t xml:space="preserve"> por </w:t>
      </w:r>
      <w:r w:rsidR="00B149B2" w:rsidRPr="00CB76D8">
        <w:rPr>
          <w:sz w:val="24"/>
          <w:szCs w:val="24"/>
        </w:rPr>
        <w:t xml:space="preserve">el </w:t>
      </w:r>
      <w:r w:rsidR="00A35FFF" w:rsidRPr="00CB76D8">
        <w:rPr>
          <w:sz w:val="24"/>
          <w:szCs w:val="24"/>
        </w:rPr>
        <w:t>Estado Parte</w:t>
      </w:r>
      <w:r w:rsidR="002E1239" w:rsidRPr="00CB76D8">
        <w:rPr>
          <w:sz w:val="24"/>
          <w:szCs w:val="24"/>
        </w:rPr>
        <w:t xml:space="preserve">, llama la atención que no se haga mención a </w:t>
      </w:r>
      <w:r w:rsidRPr="00CB76D8">
        <w:rPr>
          <w:sz w:val="24"/>
          <w:szCs w:val="24"/>
        </w:rPr>
        <w:t>la problemática del acoso escolar</w:t>
      </w:r>
      <w:r w:rsidR="002E1239" w:rsidRPr="00CB76D8">
        <w:rPr>
          <w:sz w:val="24"/>
          <w:szCs w:val="24"/>
        </w:rPr>
        <w:t>,</w:t>
      </w:r>
      <w:r w:rsidRPr="00CB76D8">
        <w:rPr>
          <w:sz w:val="24"/>
          <w:szCs w:val="24"/>
        </w:rPr>
        <w:t xml:space="preserve"> ni del acoso sexual dentro de establecimientos educativos, lo cual debe ser considerado por la importancia que este tema amerita en el sistema educativo</w:t>
      </w:r>
      <w:r w:rsidR="00647540" w:rsidRPr="00CB76D8">
        <w:rPr>
          <w:sz w:val="24"/>
          <w:szCs w:val="24"/>
        </w:rPr>
        <w:t xml:space="preserve"> y que repercute en situaciones de v</w:t>
      </w:r>
      <w:r w:rsidR="00D06A1A" w:rsidRPr="00CB76D8">
        <w:rPr>
          <w:sz w:val="24"/>
          <w:szCs w:val="24"/>
        </w:rPr>
        <w:t>iolencia en sus diferentes tipos.</w:t>
      </w:r>
    </w:p>
    <w:p w14:paraId="19ADDE5A" w14:textId="77777777" w:rsidR="00D06A1A" w:rsidRPr="00CB76D8" w:rsidRDefault="00D06A1A" w:rsidP="00D06A1A">
      <w:pPr>
        <w:autoSpaceDE w:val="0"/>
        <w:autoSpaceDN w:val="0"/>
        <w:adjustRightInd w:val="0"/>
        <w:spacing w:after="0"/>
        <w:jc w:val="both"/>
        <w:rPr>
          <w:sz w:val="24"/>
          <w:szCs w:val="24"/>
        </w:rPr>
      </w:pPr>
    </w:p>
    <w:p w14:paraId="3E37E827" w14:textId="1DB4CE6C" w:rsidR="00D06A1A" w:rsidRPr="00CB76D8" w:rsidRDefault="00531145" w:rsidP="00D06A1A">
      <w:pPr>
        <w:jc w:val="both"/>
        <w:rPr>
          <w:i/>
          <w:sz w:val="24"/>
          <w:szCs w:val="24"/>
        </w:rPr>
      </w:pPr>
      <w:r w:rsidRPr="00CB76D8">
        <w:rPr>
          <w:b/>
          <w:i/>
          <w:sz w:val="24"/>
          <w:szCs w:val="24"/>
        </w:rPr>
        <w:t>Sugerencias de cuestiones:</w:t>
      </w:r>
    </w:p>
    <w:p w14:paraId="01D2089F" w14:textId="3105DCA1" w:rsidR="003D710B" w:rsidRPr="00CB76D8" w:rsidRDefault="00A35FFF" w:rsidP="00EB0011">
      <w:pPr>
        <w:pStyle w:val="Prrafodelista"/>
        <w:numPr>
          <w:ilvl w:val="0"/>
          <w:numId w:val="7"/>
        </w:numPr>
        <w:autoSpaceDE w:val="0"/>
        <w:autoSpaceDN w:val="0"/>
        <w:adjustRightInd w:val="0"/>
        <w:spacing w:after="0"/>
        <w:jc w:val="both"/>
        <w:rPr>
          <w:rFonts w:cs="Calibri"/>
          <w:color w:val="000000"/>
          <w:sz w:val="24"/>
          <w:szCs w:val="24"/>
        </w:rPr>
      </w:pPr>
      <w:r w:rsidRPr="00CB76D8">
        <w:rPr>
          <w:sz w:val="24"/>
          <w:szCs w:val="24"/>
        </w:rPr>
        <w:t>¿Cuál es el n</w:t>
      </w:r>
      <w:r w:rsidR="002E1239" w:rsidRPr="00CB76D8">
        <w:rPr>
          <w:sz w:val="24"/>
          <w:szCs w:val="24"/>
        </w:rPr>
        <w:t xml:space="preserve">ivel de avance del </w:t>
      </w:r>
      <w:r w:rsidR="003D710B" w:rsidRPr="00CB76D8">
        <w:rPr>
          <w:rFonts w:cs="Calibri"/>
          <w:color w:val="000000"/>
          <w:sz w:val="24"/>
          <w:szCs w:val="24"/>
        </w:rPr>
        <w:t xml:space="preserve">Plan Plurinacional de Sexualidad Integral para el sistema plurinacional de educación, </w:t>
      </w:r>
      <w:r w:rsidR="006D721A" w:rsidRPr="00CB76D8">
        <w:rPr>
          <w:rFonts w:cs="Calibri"/>
          <w:color w:val="000000"/>
          <w:sz w:val="24"/>
          <w:szCs w:val="24"/>
        </w:rPr>
        <w:t>considerando que</w:t>
      </w:r>
      <w:r w:rsidR="003D710B" w:rsidRPr="00CB76D8">
        <w:rPr>
          <w:rFonts w:cs="Calibri"/>
          <w:color w:val="000000"/>
          <w:sz w:val="24"/>
          <w:szCs w:val="24"/>
        </w:rPr>
        <w:t xml:space="preserve"> la educación sexual integral</w:t>
      </w:r>
      <w:r w:rsidR="006D721A" w:rsidRPr="00CB76D8">
        <w:rPr>
          <w:rFonts w:cs="Calibri"/>
          <w:color w:val="000000"/>
          <w:sz w:val="24"/>
          <w:szCs w:val="24"/>
        </w:rPr>
        <w:t xml:space="preserve"> debiera ser parte de la currícula educativa</w:t>
      </w:r>
      <w:r w:rsidRPr="00CB76D8">
        <w:rPr>
          <w:rFonts w:cs="Calibri"/>
          <w:color w:val="000000"/>
          <w:sz w:val="24"/>
          <w:szCs w:val="24"/>
        </w:rPr>
        <w:t>?</w:t>
      </w:r>
      <w:r w:rsidR="00CB76D8" w:rsidRPr="00CB76D8">
        <w:rPr>
          <w:rFonts w:cs="Calibri"/>
          <w:color w:val="000000"/>
          <w:sz w:val="24"/>
          <w:szCs w:val="24"/>
        </w:rPr>
        <w:t>.</w:t>
      </w:r>
    </w:p>
    <w:p w14:paraId="71A1772D" w14:textId="48EDDE3C" w:rsidR="006C71E1" w:rsidRPr="00CB76D8" w:rsidRDefault="00A35FFF" w:rsidP="00EB0011">
      <w:pPr>
        <w:pStyle w:val="Prrafodelista"/>
        <w:numPr>
          <w:ilvl w:val="0"/>
          <w:numId w:val="7"/>
        </w:numPr>
        <w:autoSpaceDE w:val="0"/>
        <w:autoSpaceDN w:val="0"/>
        <w:adjustRightInd w:val="0"/>
        <w:spacing w:after="0"/>
        <w:jc w:val="both"/>
        <w:rPr>
          <w:sz w:val="24"/>
          <w:szCs w:val="24"/>
        </w:rPr>
      </w:pPr>
      <w:r w:rsidRPr="00CB76D8">
        <w:rPr>
          <w:rFonts w:cs="Calibri"/>
          <w:color w:val="000000"/>
          <w:sz w:val="24"/>
          <w:szCs w:val="24"/>
        </w:rPr>
        <w:t>¿De qué manera se garantiza el e</w:t>
      </w:r>
      <w:r w:rsidR="006D721A" w:rsidRPr="00CB76D8">
        <w:rPr>
          <w:rFonts w:cs="Calibri"/>
          <w:color w:val="000000"/>
          <w:sz w:val="24"/>
          <w:szCs w:val="24"/>
        </w:rPr>
        <w:t xml:space="preserve">nfoque de </w:t>
      </w:r>
      <w:r w:rsidR="006D721A" w:rsidRPr="00CB76D8">
        <w:rPr>
          <w:sz w:val="24"/>
          <w:szCs w:val="24"/>
        </w:rPr>
        <w:t xml:space="preserve">laicidad de la educación establecida en el Art. 3 de la Ley de Educación No. 070, </w:t>
      </w:r>
      <w:r w:rsidR="006C71E1" w:rsidRPr="00CB76D8">
        <w:rPr>
          <w:sz w:val="24"/>
          <w:szCs w:val="24"/>
        </w:rPr>
        <w:t>e</w:t>
      </w:r>
      <w:r w:rsidR="006D721A" w:rsidRPr="00CB76D8">
        <w:rPr>
          <w:sz w:val="24"/>
          <w:szCs w:val="24"/>
        </w:rPr>
        <w:t>n la que se</w:t>
      </w:r>
      <w:r w:rsidR="006C71E1" w:rsidRPr="00CB76D8">
        <w:rPr>
          <w:sz w:val="24"/>
          <w:szCs w:val="24"/>
        </w:rPr>
        <w:t xml:space="preserve"> plantea</w:t>
      </w:r>
      <w:r w:rsidR="006D721A" w:rsidRPr="00CB76D8">
        <w:rPr>
          <w:sz w:val="24"/>
          <w:szCs w:val="24"/>
        </w:rPr>
        <w:t>n</w:t>
      </w:r>
      <w:r w:rsidR="006C71E1" w:rsidRPr="00CB76D8">
        <w:rPr>
          <w:sz w:val="24"/>
          <w:szCs w:val="24"/>
        </w:rPr>
        <w:t xml:space="preserve"> los enfoques de descolonización, despatriarcaliza</w:t>
      </w:r>
      <w:r w:rsidR="006D721A" w:rsidRPr="00CB76D8">
        <w:rPr>
          <w:sz w:val="24"/>
          <w:szCs w:val="24"/>
        </w:rPr>
        <w:t>ción,</w:t>
      </w:r>
      <w:r w:rsidR="00BC7297" w:rsidRPr="00CB76D8">
        <w:rPr>
          <w:sz w:val="24"/>
          <w:szCs w:val="24"/>
        </w:rPr>
        <w:t xml:space="preserve"> inclusión,</w:t>
      </w:r>
      <w:r w:rsidR="006D721A" w:rsidRPr="00CB76D8">
        <w:rPr>
          <w:sz w:val="24"/>
          <w:szCs w:val="24"/>
        </w:rPr>
        <w:t xml:space="preserve"> intra e interculturalidad</w:t>
      </w:r>
      <w:r w:rsidRPr="00CB76D8">
        <w:rPr>
          <w:sz w:val="24"/>
          <w:szCs w:val="24"/>
        </w:rPr>
        <w:t>?</w:t>
      </w:r>
      <w:r w:rsidR="00CB76D8" w:rsidRPr="00CB76D8">
        <w:rPr>
          <w:sz w:val="24"/>
          <w:szCs w:val="24"/>
        </w:rPr>
        <w:t>.</w:t>
      </w:r>
      <w:r w:rsidR="006D721A" w:rsidRPr="00CB76D8">
        <w:rPr>
          <w:sz w:val="24"/>
          <w:szCs w:val="24"/>
        </w:rPr>
        <w:t xml:space="preserve"> </w:t>
      </w:r>
    </w:p>
    <w:p w14:paraId="5A65FB20" w14:textId="68738427" w:rsidR="00B55A52" w:rsidRPr="00CB76D8" w:rsidRDefault="00B55A52" w:rsidP="00EB0011">
      <w:pPr>
        <w:pStyle w:val="Prrafodelista"/>
        <w:numPr>
          <w:ilvl w:val="0"/>
          <w:numId w:val="7"/>
        </w:numPr>
        <w:autoSpaceDE w:val="0"/>
        <w:autoSpaceDN w:val="0"/>
        <w:adjustRightInd w:val="0"/>
        <w:spacing w:after="0"/>
        <w:jc w:val="both"/>
        <w:rPr>
          <w:sz w:val="24"/>
          <w:szCs w:val="24"/>
        </w:rPr>
      </w:pPr>
      <w:r w:rsidRPr="00CB76D8">
        <w:rPr>
          <w:sz w:val="24"/>
          <w:szCs w:val="24"/>
        </w:rPr>
        <w:t>¿Puede informar sobre la aplicación del Protocolo de atención de casos de violencia</w:t>
      </w:r>
      <w:r w:rsidR="00704397" w:rsidRPr="00CB76D8">
        <w:rPr>
          <w:sz w:val="24"/>
          <w:szCs w:val="24"/>
        </w:rPr>
        <w:t>, en especial violencia</w:t>
      </w:r>
      <w:r w:rsidR="003E49F9" w:rsidRPr="00CB76D8">
        <w:rPr>
          <w:sz w:val="24"/>
          <w:szCs w:val="24"/>
        </w:rPr>
        <w:t xml:space="preserve"> en los ámbitos educativos?</w:t>
      </w:r>
      <w:r w:rsidR="00CB76D8" w:rsidRPr="00CB76D8">
        <w:rPr>
          <w:sz w:val="24"/>
          <w:szCs w:val="24"/>
        </w:rPr>
        <w:t>.</w:t>
      </w:r>
    </w:p>
    <w:p w14:paraId="155FDC42" w14:textId="32A1BCA3" w:rsidR="00B55A52" w:rsidRPr="00CB76D8" w:rsidRDefault="00B55A52" w:rsidP="00EB0011">
      <w:pPr>
        <w:pStyle w:val="Prrafodelista"/>
        <w:numPr>
          <w:ilvl w:val="0"/>
          <w:numId w:val="7"/>
        </w:numPr>
        <w:autoSpaceDE w:val="0"/>
        <w:autoSpaceDN w:val="0"/>
        <w:adjustRightInd w:val="0"/>
        <w:spacing w:after="0"/>
        <w:jc w:val="both"/>
        <w:rPr>
          <w:sz w:val="24"/>
          <w:szCs w:val="24"/>
        </w:rPr>
      </w:pPr>
      <w:r w:rsidRPr="00CB76D8">
        <w:rPr>
          <w:sz w:val="24"/>
          <w:szCs w:val="24"/>
        </w:rPr>
        <w:lastRenderedPageBreak/>
        <w:t xml:space="preserve">¿Qué medidas ha tomado el Estado </w:t>
      </w:r>
      <w:r w:rsidR="00704397" w:rsidRPr="00CB76D8">
        <w:rPr>
          <w:sz w:val="24"/>
          <w:szCs w:val="24"/>
        </w:rPr>
        <w:t>P</w:t>
      </w:r>
      <w:r w:rsidR="00BB5732" w:rsidRPr="00CB76D8">
        <w:rPr>
          <w:sz w:val="24"/>
          <w:szCs w:val="24"/>
        </w:rPr>
        <w:t xml:space="preserve">arte para reducir la </w:t>
      </w:r>
      <w:r w:rsidRPr="00CB76D8">
        <w:rPr>
          <w:sz w:val="24"/>
          <w:szCs w:val="24"/>
        </w:rPr>
        <w:t xml:space="preserve">brecha digital, y de manera particular en la época de confinamiento y pandemia, en la que la educación se ha trasladado al ámbito digital? </w:t>
      </w:r>
      <w:r w:rsidR="00CB76D8" w:rsidRPr="00CB76D8">
        <w:rPr>
          <w:sz w:val="24"/>
          <w:szCs w:val="24"/>
        </w:rPr>
        <w:t>.</w:t>
      </w:r>
    </w:p>
    <w:p w14:paraId="02523DF1" w14:textId="2FA02138" w:rsidR="00F42FDA" w:rsidRPr="00CB76D8" w:rsidRDefault="00F42FDA" w:rsidP="00D06A1A">
      <w:pPr>
        <w:autoSpaceDE w:val="0"/>
        <w:autoSpaceDN w:val="0"/>
        <w:adjustRightInd w:val="0"/>
        <w:spacing w:after="0"/>
        <w:jc w:val="both"/>
        <w:rPr>
          <w:sz w:val="24"/>
          <w:szCs w:val="24"/>
        </w:rPr>
      </w:pPr>
    </w:p>
    <w:p w14:paraId="281EEF04" w14:textId="77777777" w:rsidR="00F42FDA" w:rsidRPr="00CB76D8" w:rsidRDefault="00F42FDA" w:rsidP="00D06A1A">
      <w:pPr>
        <w:autoSpaceDE w:val="0"/>
        <w:autoSpaceDN w:val="0"/>
        <w:adjustRightInd w:val="0"/>
        <w:spacing w:after="0"/>
        <w:jc w:val="both"/>
        <w:rPr>
          <w:sz w:val="24"/>
          <w:szCs w:val="24"/>
        </w:rPr>
      </w:pPr>
      <w:r w:rsidRPr="00CB76D8">
        <w:rPr>
          <w:b/>
          <w:sz w:val="24"/>
          <w:szCs w:val="24"/>
        </w:rPr>
        <w:t>SALUD SEXUAL Y REPRODUCTIVA</w:t>
      </w:r>
      <w:r w:rsidR="009221D0" w:rsidRPr="00CB76D8">
        <w:rPr>
          <w:b/>
          <w:sz w:val="24"/>
          <w:szCs w:val="24"/>
        </w:rPr>
        <w:t xml:space="preserve"> (Artículo 12 de la CEDAW)</w:t>
      </w:r>
    </w:p>
    <w:p w14:paraId="45C4233A" w14:textId="77777777" w:rsidR="00F42FDA" w:rsidRPr="00CB76D8" w:rsidRDefault="00F42FDA" w:rsidP="00D06A1A">
      <w:pPr>
        <w:autoSpaceDE w:val="0"/>
        <w:autoSpaceDN w:val="0"/>
        <w:adjustRightInd w:val="0"/>
        <w:spacing w:after="0"/>
        <w:jc w:val="both"/>
        <w:rPr>
          <w:sz w:val="24"/>
          <w:szCs w:val="24"/>
        </w:rPr>
      </w:pPr>
    </w:p>
    <w:p w14:paraId="10885073" w14:textId="14569301" w:rsidR="00F42FDA" w:rsidRPr="00CB76D8" w:rsidRDefault="00F42FDA" w:rsidP="00692DC2">
      <w:pPr>
        <w:pStyle w:val="Prrafodelista"/>
        <w:numPr>
          <w:ilvl w:val="0"/>
          <w:numId w:val="17"/>
        </w:numPr>
        <w:autoSpaceDE w:val="0"/>
        <w:autoSpaceDN w:val="0"/>
        <w:adjustRightInd w:val="0"/>
        <w:spacing w:after="160"/>
        <w:jc w:val="both"/>
        <w:rPr>
          <w:rFonts w:cs="Calibri"/>
          <w:sz w:val="24"/>
          <w:szCs w:val="24"/>
          <w:lang w:eastAsia="es-ES"/>
        </w:rPr>
      </w:pPr>
      <w:r w:rsidRPr="00CB76D8">
        <w:rPr>
          <w:rFonts w:cs="Calibri"/>
          <w:sz w:val="24"/>
          <w:szCs w:val="24"/>
        </w:rPr>
        <w:t xml:space="preserve">Si bien la tasa de mortalidad materna ha bajado a 160 por cada 100.000 nacidos vivos, continúa siendo una de las más altas de la región. Estas muertes están vinculadas a las complicaciones en el embarazo, parto y puerperio. La tercera causa de muerte de mujeres es el aborto en condiciones insalubres, y </w:t>
      </w:r>
      <w:r w:rsidRPr="00CB76D8">
        <w:rPr>
          <w:rFonts w:cs="Calibri"/>
          <w:sz w:val="24"/>
          <w:szCs w:val="24"/>
          <w:lang w:eastAsia="es-ES"/>
        </w:rPr>
        <w:t xml:space="preserve">un 2% de la mortalidad materna corresponde a niñas </w:t>
      </w:r>
      <w:r w:rsidR="003E49F9" w:rsidRPr="00CB76D8">
        <w:rPr>
          <w:rFonts w:cs="Calibri"/>
          <w:sz w:val="24"/>
          <w:szCs w:val="24"/>
          <w:lang w:eastAsia="es-ES"/>
        </w:rPr>
        <w:t xml:space="preserve">de </w:t>
      </w:r>
      <w:r w:rsidRPr="00CB76D8">
        <w:rPr>
          <w:rFonts w:cs="Calibri"/>
          <w:sz w:val="24"/>
          <w:szCs w:val="24"/>
          <w:lang w:eastAsia="es-ES"/>
        </w:rPr>
        <w:t>hasta 14 años.</w:t>
      </w:r>
    </w:p>
    <w:p w14:paraId="5883003A" w14:textId="72C4EE83" w:rsidR="00F42FDA" w:rsidRPr="00CB76D8" w:rsidRDefault="00F42FDA" w:rsidP="00692DC2">
      <w:pPr>
        <w:pStyle w:val="Prrafodelista"/>
        <w:numPr>
          <w:ilvl w:val="0"/>
          <w:numId w:val="17"/>
        </w:numPr>
        <w:autoSpaceDE w:val="0"/>
        <w:autoSpaceDN w:val="0"/>
        <w:adjustRightInd w:val="0"/>
        <w:spacing w:after="160"/>
        <w:jc w:val="both"/>
        <w:rPr>
          <w:sz w:val="24"/>
          <w:szCs w:val="24"/>
        </w:rPr>
      </w:pPr>
      <w:r w:rsidRPr="00CB76D8">
        <w:rPr>
          <w:rFonts w:cs="Calibri"/>
          <w:sz w:val="24"/>
          <w:szCs w:val="24"/>
          <w:lang w:eastAsia="es-ES"/>
        </w:rPr>
        <w:t>Es importante también considerar que l</w:t>
      </w:r>
      <w:r w:rsidRPr="00CB76D8">
        <w:rPr>
          <w:sz w:val="24"/>
          <w:szCs w:val="24"/>
          <w:shd w:val="clear" w:color="auto" w:fill="FFFFFF"/>
        </w:rPr>
        <w:t>a tasa de natalidad en mujeres entre 15 a 19 años es de 116 nacimientos por cada 1.000. (UNFPA, 2016)</w:t>
      </w:r>
      <w:r w:rsidR="00BB5732" w:rsidRPr="00CB76D8">
        <w:rPr>
          <w:sz w:val="24"/>
          <w:szCs w:val="24"/>
          <w:shd w:val="clear" w:color="auto" w:fill="FFFFFF"/>
        </w:rPr>
        <w:t>.</w:t>
      </w:r>
      <w:r w:rsidRPr="00CB76D8">
        <w:rPr>
          <w:sz w:val="24"/>
          <w:szCs w:val="24"/>
          <w:shd w:val="clear" w:color="auto" w:fill="FFFFFF"/>
        </w:rPr>
        <w:t xml:space="preserve"> </w:t>
      </w:r>
      <w:r w:rsidRPr="00CB76D8">
        <w:rPr>
          <w:sz w:val="24"/>
          <w:szCs w:val="24"/>
        </w:rPr>
        <w:t>La necesidad insatisfecha de anticoncepción es más alta en las adolescentes (38%) y las mujeres jóvenes de 20 a 24 años (27%) que el promedio nacional (20%)</w:t>
      </w:r>
      <w:r w:rsidR="00BB5732" w:rsidRPr="00CB76D8">
        <w:rPr>
          <w:rStyle w:val="Refdenotaalpie"/>
          <w:sz w:val="24"/>
          <w:szCs w:val="24"/>
        </w:rPr>
        <w:footnoteReference w:id="12"/>
      </w:r>
      <w:r w:rsidR="00BB5732" w:rsidRPr="00CB76D8">
        <w:rPr>
          <w:sz w:val="24"/>
          <w:szCs w:val="24"/>
        </w:rPr>
        <w:t>.</w:t>
      </w:r>
      <w:r w:rsidRPr="00CB76D8">
        <w:rPr>
          <w:sz w:val="24"/>
          <w:szCs w:val="24"/>
        </w:rPr>
        <w:t xml:space="preserve"> </w:t>
      </w:r>
    </w:p>
    <w:p w14:paraId="34AC909B" w14:textId="2FF7BA89" w:rsidR="00FC3333" w:rsidRPr="00CB76D8" w:rsidRDefault="003E49F9" w:rsidP="00692DC2">
      <w:pPr>
        <w:pStyle w:val="Prrafodelista"/>
        <w:numPr>
          <w:ilvl w:val="0"/>
          <w:numId w:val="17"/>
        </w:numPr>
        <w:shd w:val="clear" w:color="auto" w:fill="FFFFFF"/>
        <w:autoSpaceDE w:val="0"/>
        <w:autoSpaceDN w:val="0"/>
        <w:adjustRightInd w:val="0"/>
        <w:spacing w:before="120" w:after="0"/>
        <w:jc w:val="both"/>
        <w:textAlignment w:val="baseline"/>
        <w:rPr>
          <w:rFonts w:cstheme="minorHAnsi"/>
          <w:b/>
          <w:i/>
          <w:color w:val="000000" w:themeColor="text1"/>
          <w:sz w:val="24"/>
          <w:szCs w:val="24"/>
        </w:rPr>
      </w:pPr>
      <w:r w:rsidRPr="00CB76D8">
        <w:rPr>
          <w:rFonts w:cstheme="minorHAnsi"/>
          <w:color w:val="000000" w:themeColor="text1"/>
          <w:sz w:val="24"/>
          <w:szCs w:val="24"/>
        </w:rPr>
        <w:t xml:space="preserve">Existe un </w:t>
      </w:r>
      <w:r w:rsidR="00FC3333" w:rsidRPr="00CB76D8">
        <w:rPr>
          <w:rFonts w:cstheme="minorHAnsi"/>
          <w:color w:val="000000" w:themeColor="text1"/>
          <w:sz w:val="24"/>
          <w:szCs w:val="24"/>
          <w:shd w:val="clear" w:color="auto" w:fill="FFFFFF"/>
        </w:rPr>
        <w:t>Plan Estratégico de Salud Sexual y Salud Reproductiva 2016-2020</w:t>
      </w:r>
      <w:r w:rsidR="00FC3333" w:rsidRPr="00CB76D8">
        <w:rPr>
          <w:rStyle w:val="Refdenotaalpie"/>
          <w:rFonts w:cstheme="minorHAnsi"/>
          <w:color w:val="000000" w:themeColor="text1"/>
          <w:sz w:val="24"/>
          <w:szCs w:val="24"/>
          <w:shd w:val="clear" w:color="auto" w:fill="FFFFFF"/>
        </w:rPr>
        <w:footnoteReference w:id="13"/>
      </w:r>
      <w:r w:rsidR="00FC3333" w:rsidRPr="00CB76D8">
        <w:rPr>
          <w:rFonts w:cstheme="minorHAnsi"/>
          <w:color w:val="000000" w:themeColor="text1"/>
          <w:sz w:val="24"/>
          <w:szCs w:val="24"/>
          <w:shd w:val="clear" w:color="auto" w:fill="FFFFFF"/>
        </w:rPr>
        <w:t>, sin embargo, a la fecha no se cuenta con normativa que lo ponga en vigencia</w:t>
      </w:r>
      <w:r w:rsidR="004375E8" w:rsidRPr="00CB76D8">
        <w:rPr>
          <w:rFonts w:cstheme="minorHAnsi"/>
          <w:color w:val="000000" w:themeColor="text1"/>
          <w:sz w:val="24"/>
          <w:szCs w:val="24"/>
          <w:shd w:val="clear" w:color="auto" w:fill="FFFFFF"/>
        </w:rPr>
        <w:t>.</w:t>
      </w:r>
      <w:r w:rsidR="00FC3333" w:rsidRPr="00CB76D8">
        <w:rPr>
          <w:rFonts w:cstheme="minorHAnsi"/>
          <w:color w:val="000000" w:themeColor="text1"/>
          <w:sz w:val="24"/>
          <w:szCs w:val="24"/>
          <w:shd w:val="clear" w:color="auto" w:fill="FFFFFF"/>
        </w:rPr>
        <w:t xml:space="preserve"> También, se aprobó el </w:t>
      </w:r>
      <w:r w:rsidR="00FC3333" w:rsidRPr="00CB76D8">
        <w:rPr>
          <w:rFonts w:cstheme="minorHAnsi"/>
          <w:color w:val="000000" w:themeColor="text1"/>
          <w:sz w:val="24"/>
          <w:szCs w:val="24"/>
        </w:rPr>
        <w:t xml:space="preserve">Plan Plurinacional de Prevención de Embarazos en Adolescentes y Jóvenes 2015-2020, </w:t>
      </w:r>
      <w:r w:rsidR="00BB5732" w:rsidRPr="00CB76D8">
        <w:rPr>
          <w:rFonts w:cstheme="minorHAnsi"/>
          <w:color w:val="000000" w:themeColor="text1"/>
          <w:sz w:val="24"/>
          <w:szCs w:val="24"/>
        </w:rPr>
        <w:t>empero</w:t>
      </w:r>
      <w:r w:rsidR="00766E1B" w:rsidRPr="00CB76D8">
        <w:rPr>
          <w:rFonts w:cstheme="minorHAnsi"/>
          <w:color w:val="000000" w:themeColor="text1"/>
          <w:sz w:val="24"/>
          <w:szCs w:val="24"/>
        </w:rPr>
        <w:t>,</w:t>
      </w:r>
      <w:r w:rsidR="00FC3333" w:rsidRPr="00CB76D8">
        <w:rPr>
          <w:rFonts w:cstheme="minorHAnsi"/>
          <w:color w:val="000000" w:themeColor="text1"/>
          <w:sz w:val="24"/>
          <w:szCs w:val="24"/>
        </w:rPr>
        <w:t xml:space="preserve"> cada día se registran en promedio 246 embarazos adolescentes, s</w:t>
      </w:r>
      <w:r w:rsidR="00FC3333" w:rsidRPr="00CB76D8">
        <w:rPr>
          <w:sz w:val="24"/>
          <w:szCs w:val="24"/>
          <w:shd w:val="clear" w:color="auto" w:fill="FFFFFF"/>
        </w:rPr>
        <w:t xml:space="preserve">egún los datos del </w:t>
      </w:r>
      <w:r w:rsidR="00A5404F" w:rsidRPr="00CB76D8">
        <w:rPr>
          <w:rFonts w:cs="Arial"/>
          <w:color w:val="222222"/>
          <w:sz w:val="24"/>
          <w:szCs w:val="24"/>
          <w:shd w:val="clear" w:color="auto" w:fill="FFFFFF"/>
        </w:rPr>
        <w:t>Sistema Nacional de Información Social (</w:t>
      </w:r>
      <w:r w:rsidR="00FC3333" w:rsidRPr="00CB76D8">
        <w:rPr>
          <w:sz w:val="24"/>
          <w:szCs w:val="24"/>
          <w:shd w:val="clear" w:color="auto" w:fill="FFFFFF"/>
        </w:rPr>
        <w:t>SNIS</w:t>
      </w:r>
      <w:r w:rsidR="00A5404F" w:rsidRPr="00CB76D8">
        <w:rPr>
          <w:sz w:val="24"/>
          <w:szCs w:val="24"/>
          <w:shd w:val="clear" w:color="auto" w:fill="FFFFFF"/>
        </w:rPr>
        <w:t>)</w:t>
      </w:r>
      <w:r w:rsidR="00BB5732" w:rsidRPr="00CB76D8">
        <w:rPr>
          <w:sz w:val="24"/>
          <w:szCs w:val="24"/>
          <w:shd w:val="clear" w:color="auto" w:fill="FFFFFF"/>
        </w:rPr>
        <w:t>. E</w:t>
      </w:r>
      <w:r w:rsidR="00FC3333" w:rsidRPr="00CB76D8">
        <w:rPr>
          <w:sz w:val="24"/>
          <w:szCs w:val="24"/>
          <w:shd w:val="clear" w:color="auto" w:fill="FFFFFF"/>
        </w:rPr>
        <w:t>n 2016 se han registrado un total de 13.332 nacimientos de niñas menores de 15 años</w:t>
      </w:r>
      <w:r w:rsidR="00FC3333" w:rsidRPr="00CB76D8">
        <w:rPr>
          <w:rStyle w:val="Refdenotaalpie"/>
          <w:sz w:val="24"/>
          <w:szCs w:val="24"/>
          <w:shd w:val="clear" w:color="auto" w:fill="FFFFFF"/>
        </w:rPr>
        <w:footnoteReference w:id="14"/>
      </w:r>
      <w:r w:rsidR="00FC3333" w:rsidRPr="00CB76D8">
        <w:rPr>
          <w:rFonts w:cstheme="minorHAnsi"/>
          <w:color w:val="000000" w:themeColor="text1"/>
          <w:sz w:val="24"/>
          <w:szCs w:val="24"/>
        </w:rPr>
        <w:t xml:space="preserve">. </w:t>
      </w:r>
    </w:p>
    <w:p w14:paraId="019A1283" w14:textId="797346B9" w:rsidR="00D06A1A" w:rsidRPr="00B1326F" w:rsidRDefault="00FC3333" w:rsidP="00B1326F">
      <w:pPr>
        <w:pStyle w:val="Prrafodelista"/>
        <w:numPr>
          <w:ilvl w:val="0"/>
          <w:numId w:val="17"/>
        </w:numPr>
        <w:shd w:val="clear" w:color="auto" w:fill="FFFFFF"/>
        <w:autoSpaceDE w:val="0"/>
        <w:autoSpaceDN w:val="0"/>
        <w:adjustRightInd w:val="0"/>
        <w:spacing w:before="120" w:after="0"/>
        <w:jc w:val="both"/>
        <w:textAlignment w:val="baseline"/>
        <w:rPr>
          <w:rFonts w:cstheme="minorHAnsi"/>
          <w:b/>
          <w:i/>
          <w:color w:val="000000" w:themeColor="text1"/>
          <w:sz w:val="24"/>
          <w:szCs w:val="24"/>
        </w:rPr>
      </w:pPr>
      <w:r w:rsidRPr="00CB76D8">
        <w:rPr>
          <w:rFonts w:cstheme="minorHAnsi"/>
          <w:color w:val="000000" w:themeColor="text1"/>
          <w:sz w:val="24"/>
          <w:szCs w:val="24"/>
        </w:rPr>
        <w:t>Por otra parte, el Tribunal Constitucional Plurinacional dictó la Sentencia Nº 0206/2014,</w:t>
      </w:r>
      <w:r w:rsidRPr="00CB76D8">
        <w:rPr>
          <w:rFonts w:cstheme="minorHAnsi"/>
          <w:sz w:val="24"/>
          <w:szCs w:val="24"/>
        </w:rPr>
        <w:t xml:space="preserve"> </w:t>
      </w:r>
      <w:r w:rsidRPr="00CB76D8">
        <w:rPr>
          <w:rFonts w:cstheme="minorHAnsi"/>
          <w:color w:val="000000" w:themeColor="text1"/>
          <w:sz w:val="24"/>
          <w:szCs w:val="24"/>
        </w:rPr>
        <w:t xml:space="preserve">eliminando la autorización judicial para el acceso a la interrupción legal del embarazo (ILE) en casos de violación e incesto, además de declarar la constitucionalidad de los </w:t>
      </w:r>
      <w:r w:rsidR="00584449">
        <w:rPr>
          <w:rFonts w:cstheme="minorHAnsi"/>
          <w:color w:val="000000" w:themeColor="text1"/>
          <w:sz w:val="24"/>
          <w:szCs w:val="24"/>
        </w:rPr>
        <w:t>casos en los que existe riesgo para la vida y la salud de la mujeres</w:t>
      </w:r>
      <w:r w:rsidRPr="00CB76D8">
        <w:rPr>
          <w:rFonts w:cstheme="minorHAnsi"/>
          <w:color w:val="000000" w:themeColor="text1"/>
          <w:sz w:val="24"/>
          <w:szCs w:val="24"/>
        </w:rPr>
        <w:t xml:space="preserve">, sin embargo aún existen trabas en los servicios </w:t>
      </w:r>
      <w:r w:rsidR="00584449">
        <w:rPr>
          <w:rFonts w:cstheme="minorHAnsi"/>
          <w:color w:val="000000" w:themeColor="text1"/>
          <w:sz w:val="24"/>
          <w:szCs w:val="24"/>
        </w:rPr>
        <w:t>de salud</w:t>
      </w:r>
      <w:r w:rsidR="00B1326F">
        <w:rPr>
          <w:rStyle w:val="Refdenotaalpie"/>
          <w:rFonts w:cstheme="minorHAnsi"/>
          <w:color w:val="000000" w:themeColor="text1"/>
          <w:sz w:val="24"/>
          <w:szCs w:val="24"/>
        </w:rPr>
        <w:footnoteReference w:id="15"/>
      </w:r>
      <w:r w:rsidRPr="00CB76D8">
        <w:rPr>
          <w:rFonts w:cstheme="minorHAnsi"/>
          <w:color w:val="000000" w:themeColor="text1"/>
          <w:sz w:val="24"/>
          <w:szCs w:val="24"/>
        </w:rPr>
        <w:t xml:space="preserve">. </w:t>
      </w:r>
      <w:r w:rsidR="00584449" w:rsidRPr="00B1326F">
        <w:rPr>
          <w:rFonts w:cstheme="minorHAnsi"/>
          <w:sz w:val="24"/>
          <w:szCs w:val="24"/>
        </w:rPr>
        <w:t xml:space="preserve">En otras instituciones </w:t>
      </w:r>
      <w:r w:rsidR="00692DC2" w:rsidRPr="00B1326F">
        <w:rPr>
          <w:rFonts w:cstheme="minorHAnsi"/>
          <w:sz w:val="24"/>
          <w:szCs w:val="24"/>
        </w:rPr>
        <w:t>co</w:t>
      </w:r>
      <w:r w:rsidR="00584449" w:rsidRPr="00B1326F">
        <w:rPr>
          <w:rFonts w:cstheme="minorHAnsi"/>
          <w:sz w:val="24"/>
          <w:szCs w:val="24"/>
        </w:rPr>
        <w:t>mo</w:t>
      </w:r>
      <w:r w:rsidR="00692DC2" w:rsidRPr="00B1326F">
        <w:rPr>
          <w:rFonts w:cstheme="minorHAnsi"/>
          <w:sz w:val="24"/>
          <w:szCs w:val="24"/>
        </w:rPr>
        <w:t xml:space="preserve"> Defensoría de la Niñez y Adolescencia</w:t>
      </w:r>
      <w:r w:rsidR="00B1326F" w:rsidRPr="00B1326F">
        <w:rPr>
          <w:rFonts w:cstheme="minorHAnsi"/>
          <w:sz w:val="24"/>
          <w:szCs w:val="24"/>
        </w:rPr>
        <w:t xml:space="preserve"> y Servicios Legales Integrales que deben brindar acompañamiento</w:t>
      </w:r>
      <w:r w:rsidR="00584449" w:rsidRPr="00B1326F">
        <w:rPr>
          <w:rFonts w:cstheme="minorHAnsi"/>
          <w:sz w:val="24"/>
          <w:szCs w:val="24"/>
        </w:rPr>
        <w:t>,</w:t>
      </w:r>
      <w:r w:rsidR="00692DC2" w:rsidRPr="00B1326F">
        <w:rPr>
          <w:rFonts w:cstheme="minorHAnsi"/>
          <w:sz w:val="24"/>
          <w:szCs w:val="24"/>
        </w:rPr>
        <w:t xml:space="preserve"> </w:t>
      </w:r>
      <w:r w:rsidR="00584449" w:rsidRPr="00B1326F">
        <w:rPr>
          <w:rFonts w:cstheme="minorHAnsi"/>
          <w:sz w:val="24"/>
          <w:szCs w:val="24"/>
        </w:rPr>
        <w:t xml:space="preserve">su personal también </w:t>
      </w:r>
      <w:r w:rsidR="00692DC2" w:rsidRPr="00B1326F">
        <w:rPr>
          <w:rFonts w:cstheme="minorHAnsi"/>
          <w:sz w:val="24"/>
          <w:szCs w:val="24"/>
        </w:rPr>
        <w:t>antepone</w:t>
      </w:r>
      <w:r w:rsidR="00584449" w:rsidRPr="00B1326F">
        <w:rPr>
          <w:rFonts w:cstheme="minorHAnsi"/>
          <w:sz w:val="24"/>
          <w:szCs w:val="24"/>
        </w:rPr>
        <w:t xml:space="preserve"> sus </w:t>
      </w:r>
      <w:r w:rsidR="00692DC2" w:rsidRPr="00B1326F">
        <w:rPr>
          <w:rFonts w:cstheme="minorHAnsi"/>
          <w:sz w:val="24"/>
          <w:szCs w:val="24"/>
        </w:rPr>
        <w:t xml:space="preserve">valores religiosos </w:t>
      </w:r>
      <w:r w:rsidR="00584449" w:rsidRPr="00B1326F">
        <w:rPr>
          <w:rFonts w:cstheme="minorHAnsi"/>
          <w:sz w:val="24"/>
          <w:szCs w:val="24"/>
        </w:rPr>
        <w:t>a los mandatos de l</w:t>
      </w:r>
      <w:r w:rsidR="00B1326F" w:rsidRPr="00B1326F">
        <w:rPr>
          <w:rFonts w:cstheme="minorHAnsi"/>
          <w:sz w:val="24"/>
          <w:szCs w:val="24"/>
        </w:rPr>
        <w:t>a</w:t>
      </w:r>
      <w:r w:rsidR="00584449" w:rsidRPr="00B1326F">
        <w:rPr>
          <w:rFonts w:cstheme="minorHAnsi"/>
          <w:sz w:val="24"/>
          <w:szCs w:val="24"/>
        </w:rPr>
        <w:t xml:space="preserve"> ley</w:t>
      </w:r>
      <w:r w:rsidR="00D06A1A" w:rsidRPr="00B1326F">
        <w:rPr>
          <w:rFonts w:cstheme="minorHAnsi"/>
          <w:sz w:val="24"/>
          <w:szCs w:val="24"/>
        </w:rPr>
        <w:t>.</w:t>
      </w:r>
      <w:r w:rsidR="00B1326F">
        <w:rPr>
          <w:rFonts w:cstheme="minorHAnsi"/>
          <w:sz w:val="24"/>
          <w:szCs w:val="24"/>
        </w:rPr>
        <w:t xml:space="preserve"> </w:t>
      </w:r>
      <w:r w:rsidR="00B1326F">
        <w:rPr>
          <w:rFonts w:cstheme="minorHAnsi"/>
          <w:color w:val="000000" w:themeColor="text1"/>
          <w:sz w:val="24"/>
          <w:szCs w:val="24"/>
        </w:rPr>
        <w:t xml:space="preserve">Grupos anti derechos (fundamentalistas y religiosos) acosan a los servicios salud donde se </w:t>
      </w:r>
      <w:r w:rsidR="00B1326F">
        <w:rPr>
          <w:rFonts w:cstheme="minorHAnsi"/>
          <w:color w:val="000000" w:themeColor="text1"/>
          <w:sz w:val="24"/>
          <w:szCs w:val="24"/>
        </w:rPr>
        <w:lastRenderedPageBreak/>
        <w:t>realiza la ILE, promueven la objeción de conciencia institucional pese a no ser admisible y buscan retrocesos legislativos.</w:t>
      </w:r>
    </w:p>
    <w:p w14:paraId="0EC4C991" w14:textId="53C6198F" w:rsidR="00FC3333" w:rsidRPr="00CB76D8" w:rsidRDefault="003E49F9" w:rsidP="00692DC2">
      <w:pPr>
        <w:pStyle w:val="Prrafodelista"/>
        <w:numPr>
          <w:ilvl w:val="0"/>
          <w:numId w:val="17"/>
        </w:numPr>
        <w:shd w:val="clear" w:color="auto" w:fill="FFFFFF"/>
        <w:autoSpaceDE w:val="0"/>
        <w:autoSpaceDN w:val="0"/>
        <w:adjustRightInd w:val="0"/>
        <w:spacing w:before="120" w:after="0"/>
        <w:jc w:val="both"/>
        <w:textAlignment w:val="baseline"/>
        <w:rPr>
          <w:color w:val="000000"/>
          <w:sz w:val="24"/>
          <w:szCs w:val="24"/>
        </w:rPr>
      </w:pPr>
      <w:r w:rsidRPr="00CB76D8">
        <w:rPr>
          <w:rFonts w:cstheme="minorHAnsi"/>
          <w:color w:val="000000" w:themeColor="text1"/>
          <w:sz w:val="24"/>
          <w:szCs w:val="24"/>
        </w:rPr>
        <w:t xml:space="preserve">No se cuenta con una Ley de </w:t>
      </w:r>
      <w:r w:rsidR="00FC3333" w:rsidRPr="00CB76D8">
        <w:rPr>
          <w:rFonts w:cstheme="minorHAnsi"/>
          <w:color w:val="000000" w:themeColor="text1"/>
          <w:sz w:val="24"/>
          <w:szCs w:val="24"/>
        </w:rPr>
        <w:t>derechos sexuales y derechos reproductivos</w:t>
      </w:r>
      <w:r w:rsidR="00EE0699" w:rsidRPr="00CB76D8">
        <w:rPr>
          <w:rFonts w:cstheme="minorHAnsi"/>
          <w:color w:val="000000" w:themeColor="text1"/>
          <w:sz w:val="24"/>
          <w:szCs w:val="24"/>
        </w:rPr>
        <w:t xml:space="preserve">, y se carece de </w:t>
      </w:r>
      <w:r w:rsidR="00FC3333" w:rsidRPr="00CB76D8">
        <w:rPr>
          <w:rFonts w:cstheme="minorHAnsi"/>
          <w:color w:val="000000" w:themeColor="text1"/>
          <w:sz w:val="24"/>
          <w:szCs w:val="24"/>
        </w:rPr>
        <w:t>información y acceso a métodos anticonceptivos modernos y seguros, particularmente en áreas rurales e indígenas, en especial en l</w:t>
      </w:r>
      <w:r w:rsidR="00BC7297" w:rsidRPr="00CB76D8">
        <w:rPr>
          <w:rFonts w:cstheme="minorHAnsi"/>
          <w:color w:val="000000" w:themeColor="text1"/>
          <w:sz w:val="24"/>
          <w:szCs w:val="24"/>
        </w:rPr>
        <w:t xml:space="preserve">a población adolescente y joven (particularmente mujeres), </w:t>
      </w:r>
      <w:r w:rsidR="00FC3333" w:rsidRPr="00CB76D8">
        <w:rPr>
          <w:sz w:val="24"/>
          <w:szCs w:val="24"/>
        </w:rPr>
        <w:t>lo que limita</w:t>
      </w:r>
      <w:r w:rsidR="00FC3333" w:rsidRPr="00CB76D8">
        <w:rPr>
          <w:color w:val="000000"/>
          <w:sz w:val="24"/>
          <w:szCs w:val="24"/>
        </w:rPr>
        <w:t xml:space="preserve"> la prevención del embarazo n</w:t>
      </w:r>
      <w:r w:rsidRPr="00CB76D8">
        <w:rPr>
          <w:color w:val="000000"/>
          <w:sz w:val="24"/>
          <w:szCs w:val="24"/>
        </w:rPr>
        <w:t xml:space="preserve">o deseado y aborto adolescente. </w:t>
      </w:r>
    </w:p>
    <w:p w14:paraId="2E7565F7" w14:textId="30349FD0" w:rsidR="006D721A" w:rsidRPr="00CB76D8" w:rsidRDefault="003E49F9" w:rsidP="00692DC2">
      <w:pPr>
        <w:pStyle w:val="Prrafodelista"/>
        <w:numPr>
          <w:ilvl w:val="0"/>
          <w:numId w:val="17"/>
        </w:numPr>
        <w:jc w:val="both"/>
        <w:rPr>
          <w:sz w:val="24"/>
          <w:szCs w:val="24"/>
          <w:lang w:val="es-ES"/>
        </w:rPr>
      </w:pPr>
      <w:r w:rsidRPr="00CB76D8">
        <w:rPr>
          <w:sz w:val="24"/>
          <w:szCs w:val="24"/>
          <w:lang w:val="es-ES"/>
        </w:rPr>
        <w:t>Se conoce que l</w:t>
      </w:r>
      <w:r w:rsidR="00A45E97" w:rsidRPr="00CB76D8">
        <w:rPr>
          <w:sz w:val="24"/>
          <w:szCs w:val="24"/>
          <w:lang w:val="es-ES"/>
        </w:rPr>
        <w:t xml:space="preserve">a pandemia por COVID 19 ocasionará que 7 millones de mujeres enfrenten embarazos no deseados en contra de los avances relativos a la autonomía reproductiva y en condiciones que vendrán acompañadas de recesión económica, altos grados de violencia intrafamiliar y labores de cuidado asumidas desproporcionalmente. </w:t>
      </w:r>
    </w:p>
    <w:p w14:paraId="68D5931A" w14:textId="324CDEF4" w:rsidR="00CD3F25" w:rsidRPr="00CB76D8" w:rsidRDefault="00F42FDA" w:rsidP="00D06A1A">
      <w:pPr>
        <w:jc w:val="both"/>
        <w:rPr>
          <w:b/>
          <w:i/>
          <w:sz w:val="24"/>
          <w:szCs w:val="24"/>
        </w:rPr>
      </w:pPr>
      <w:r w:rsidRPr="00CB76D8">
        <w:rPr>
          <w:b/>
          <w:i/>
          <w:sz w:val="24"/>
          <w:szCs w:val="24"/>
        </w:rPr>
        <w:t>Sugerencia</w:t>
      </w:r>
      <w:r w:rsidR="00531145" w:rsidRPr="00CB76D8">
        <w:rPr>
          <w:b/>
          <w:i/>
          <w:sz w:val="24"/>
          <w:szCs w:val="24"/>
        </w:rPr>
        <w:t>s de cuestiones:</w:t>
      </w:r>
    </w:p>
    <w:p w14:paraId="0C9EBAE4" w14:textId="38879282" w:rsidR="00B1326F" w:rsidRPr="007F5972" w:rsidRDefault="00F42FDA" w:rsidP="00B1326F">
      <w:pPr>
        <w:pStyle w:val="Prrafodelista"/>
        <w:numPr>
          <w:ilvl w:val="0"/>
          <w:numId w:val="17"/>
        </w:numPr>
        <w:shd w:val="clear" w:color="auto" w:fill="FFFFFF"/>
        <w:autoSpaceDE w:val="0"/>
        <w:autoSpaceDN w:val="0"/>
        <w:adjustRightInd w:val="0"/>
        <w:spacing w:before="120" w:after="0"/>
        <w:ind w:left="709"/>
        <w:jc w:val="both"/>
        <w:textAlignment w:val="baseline"/>
        <w:rPr>
          <w:rFonts w:cstheme="minorHAnsi"/>
          <w:color w:val="000000" w:themeColor="text1"/>
          <w:sz w:val="24"/>
          <w:szCs w:val="24"/>
        </w:rPr>
      </w:pPr>
      <w:r w:rsidRPr="00CB76D8">
        <w:rPr>
          <w:sz w:val="24"/>
          <w:szCs w:val="24"/>
        </w:rPr>
        <w:t>¿</w:t>
      </w:r>
      <w:r w:rsidR="006C3A8F" w:rsidRPr="00CB76D8">
        <w:rPr>
          <w:sz w:val="24"/>
          <w:szCs w:val="24"/>
        </w:rPr>
        <w:t xml:space="preserve">Qué acciones se realizan para garantizar, </w:t>
      </w:r>
      <w:r w:rsidR="006C3A8F" w:rsidRPr="00CB76D8">
        <w:rPr>
          <w:rFonts w:eastAsia="Times New Roman" w:cs="Calibri"/>
          <w:color w:val="000000"/>
          <w:sz w:val="24"/>
          <w:szCs w:val="24"/>
          <w:lang w:eastAsia="es-BO"/>
        </w:rPr>
        <w:t xml:space="preserve">en todos sus niveles, el cumplimiento de la Sentencia </w:t>
      </w:r>
      <w:r w:rsidRPr="00CB76D8">
        <w:rPr>
          <w:rFonts w:eastAsia="Times New Roman" w:cs="Calibri"/>
          <w:color w:val="000000"/>
          <w:sz w:val="24"/>
          <w:szCs w:val="24"/>
          <w:lang w:eastAsia="es-BO"/>
        </w:rPr>
        <w:t xml:space="preserve">Constitucional Plurinacional </w:t>
      </w:r>
      <w:r w:rsidR="006C3A8F" w:rsidRPr="00CB76D8">
        <w:rPr>
          <w:rFonts w:eastAsia="Times New Roman" w:cs="Calibri"/>
          <w:color w:val="000000"/>
          <w:sz w:val="24"/>
          <w:szCs w:val="24"/>
          <w:lang w:eastAsia="es-BO"/>
        </w:rPr>
        <w:t>0206/2014, socializando su contenido y todas sus causales, así como el Procedimiento Técnico para la Prestación de Servicios de Salud en el Marco de la Sentencia Constit</w:t>
      </w:r>
      <w:r w:rsidR="00EE0699" w:rsidRPr="00CB76D8">
        <w:rPr>
          <w:rFonts w:eastAsia="Times New Roman" w:cs="Calibri"/>
          <w:color w:val="000000"/>
          <w:sz w:val="24"/>
          <w:szCs w:val="24"/>
          <w:lang w:eastAsia="es-BO"/>
        </w:rPr>
        <w:t>ucional Plurinacional 0206/2014</w:t>
      </w:r>
      <w:r w:rsidR="00BC7778" w:rsidRPr="00CB76D8">
        <w:rPr>
          <w:rFonts w:eastAsia="Times New Roman" w:cs="Calibri"/>
          <w:color w:val="000000"/>
          <w:sz w:val="24"/>
          <w:szCs w:val="24"/>
          <w:lang w:eastAsia="es-BO"/>
        </w:rPr>
        <w:t>, que se mencionan en los párrafos 122 y 123 de su informe</w:t>
      </w:r>
      <w:r w:rsidR="00EE0699" w:rsidRPr="00CB76D8">
        <w:rPr>
          <w:rFonts w:eastAsia="Times New Roman" w:cs="Calibri"/>
          <w:color w:val="000000"/>
          <w:sz w:val="24"/>
          <w:szCs w:val="24"/>
          <w:lang w:eastAsia="es-BO"/>
        </w:rPr>
        <w:t>?</w:t>
      </w:r>
      <w:r w:rsidR="00CB76D8" w:rsidRPr="00CB76D8">
        <w:rPr>
          <w:rFonts w:eastAsia="Times New Roman" w:cs="Calibri"/>
          <w:color w:val="000000"/>
          <w:sz w:val="24"/>
          <w:szCs w:val="24"/>
          <w:lang w:eastAsia="es-BO"/>
        </w:rPr>
        <w:t>.</w:t>
      </w:r>
      <w:r w:rsidR="00B1326F">
        <w:rPr>
          <w:rFonts w:eastAsia="Times New Roman" w:cs="Calibri"/>
          <w:color w:val="000000"/>
          <w:sz w:val="24"/>
          <w:szCs w:val="24"/>
          <w:lang w:eastAsia="es-BO"/>
        </w:rPr>
        <w:t xml:space="preserve"> ¿Qué acciones legales judiciales o disciplinarías pueden interponerse en caso de incumplimiento de estas disposiciones</w:t>
      </w:r>
      <w:r w:rsidR="00B1326F" w:rsidRPr="00B1326F">
        <w:rPr>
          <w:rFonts w:eastAsia="Times New Roman" w:cs="Calibri"/>
          <w:sz w:val="24"/>
          <w:szCs w:val="24"/>
          <w:lang w:eastAsia="es-BO"/>
        </w:rPr>
        <w:t>?</w:t>
      </w:r>
      <w:r w:rsidR="00B1326F" w:rsidRPr="00B1326F">
        <w:rPr>
          <w:rFonts w:cstheme="minorHAnsi"/>
          <w:sz w:val="24"/>
          <w:szCs w:val="24"/>
        </w:rPr>
        <w:t>.</w:t>
      </w:r>
    </w:p>
    <w:p w14:paraId="18554DEF" w14:textId="6ADE496C" w:rsidR="001B6C7D" w:rsidRPr="00CB76D8" w:rsidRDefault="00FC3333" w:rsidP="00C06FDD">
      <w:pPr>
        <w:pStyle w:val="Prrafodelista"/>
        <w:numPr>
          <w:ilvl w:val="0"/>
          <w:numId w:val="4"/>
        </w:numPr>
        <w:jc w:val="both"/>
        <w:rPr>
          <w:sz w:val="24"/>
          <w:szCs w:val="24"/>
          <w:lang w:val="es-ES"/>
        </w:rPr>
      </w:pPr>
      <w:r w:rsidRPr="00CB76D8">
        <w:rPr>
          <w:rFonts w:eastAsia="Times New Roman" w:cs="Calibri"/>
          <w:color w:val="000000"/>
          <w:sz w:val="24"/>
          <w:szCs w:val="24"/>
          <w:lang w:eastAsia="es-BO"/>
        </w:rPr>
        <w:t>¿</w:t>
      </w:r>
      <w:r w:rsidR="00A35FFF" w:rsidRPr="00CB76D8">
        <w:rPr>
          <w:rFonts w:eastAsia="Times New Roman" w:cs="Calibri"/>
          <w:color w:val="000000"/>
          <w:sz w:val="24"/>
          <w:szCs w:val="24"/>
          <w:lang w:eastAsia="es-BO"/>
        </w:rPr>
        <w:t>S</w:t>
      </w:r>
      <w:r w:rsidR="003E49F9" w:rsidRPr="00CB76D8">
        <w:rPr>
          <w:rFonts w:eastAsia="Times New Roman" w:cs="Calibri"/>
          <w:color w:val="000000"/>
          <w:sz w:val="24"/>
          <w:szCs w:val="24"/>
          <w:lang w:eastAsia="es-BO"/>
        </w:rPr>
        <w:t>e tiene programado</w:t>
      </w:r>
      <w:r w:rsidR="001B6C7D" w:rsidRPr="00CB76D8">
        <w:rPr>
          <w:rFonts w:eastAsia="Times New Roman" w:cs="Calibri"/>
          <w:color w:val="000000"/>
          <w:sz w:val="24"/>
          <w:szCs w:val="24"/>
          <w:lang w:eastAsia="es-BO"/>
        </w:rPr>
        <w:t xml:space="preserve"> </w:t>
      </w:r>
      <w:r w:rsidR="00A35FFF" w:rsidRPr="00CB76D8">
        <w:rPr>
          <w:rFonts w:eastAsia="Times New Roman" w:cs="Calibri"/>
          <w:color w:val="000000"/>
          <w:sz w:val="24"/>
          <w:szCs w:val="24"/>
          <w:lang w:eastAsia="es-BO"/>
        </w:rPr>
        <w:t>el tratamiento y promulgación de una</w:t>
      </w:r>
      <w:r w:rsidR="00CD3F25" w:rsidRPr="00CB76D8">
        <w:rPr>
          <w:rFonts w:eastAsia="Times New Roman" w:cs="Calibri"/>
          <w:color w:val="000000"/>
          <w:sz w:val="24"/>
          <w:szCs w:val="24"/>
          <w:lang w:eastAsia="es-BO"/>
        </w:rPr>
        <w:t xml:space="preserve"> Ley de Derechos Se</w:t>
      </w:r>
      <w:r w:rsidR="001B6C7D" w:rsidRPr="00CB76D8">
        <w:rPr>
          <w:rFonts w:eastAsia="Times New Roman" w:cs="Calibri"/>
          <w:color w:val="000000"/>
          <w:sz w:val="24"/>
          <w:szCs w:val="24"/>
          <w:lang w:eastAsia="es-BO"/>
        </w:rPr>
        <w:t xml:space="preserve">xuales y Derechos Reproductivos, </w:t>
      </w:r>
      <w:r w:rsidR="00CD3F25" w:rsidRPr="00CB76D8">
        <w:rPr>
          <w:rFonts w:eastAsia="Times New Roman" w:cs="Calibri"/>
          <w:color w:val="000000"/>
          <w:sz w:val="24"/>
          <w:szCs w:val="24"/>
          <w:lang w:eastAsia="es-BO"/>
        </w:rPr>
        <w:t>que establezca responsabilidades y acciones para todas las instancias estatales en sus distintos niveles</w:t>
      </w:r>
      <w:r w:rsidR="00A35FFF" w:rsidRPr="00CB76D8">
        <w:rPr>
          <w:rFonts w:eastAsia="Times New Roman" w:cs="Calibri"/>
          <w:color w:val="000000"/>
          <w:sz w:val="24"/>
          <w:szCs w:val="24"/>
          <w:lang w:eastAsia="es-BO"/>
        </w:rPr>
        <w:t xml:space="preserve"> para garantizar estos derechos?</w:t>
      </w:r>
      <w:r w:rsidR="003E49F9" w:rsidRPr="00CB76D8">
        <w:rPr>
          <w:rFonts w:eastAsia="Times New Roman" w:cs="Calibri"/>
          <w:color w:val="000000"/>
          <w:sz w:val="24"/>
          <w:szCs w:val="24"/>
          <w:lang w:eastAsia="es-BO"/>
        </w:rPr>
        <w:t>,</w:t>
      </w:r>
      <w:r w:rsidR="008570E2" w:rsidRPr="00CB76D8">
        <w:rPr>
          <w:rFonts w:eastAsia="Times New Roman" w:cs="Calibri"/>
          <w:color w:val="000000"/>
          <w:sz w:val="24"/>
          <w:szCs w:val="24"/>
          <w:lang w:eastAsia="es-BO"/>
        </w:rPr>
        <w:t xml:space="preserve"> </w:t>
      </w:r>
      <w:r w:rsidR="008570E2" w:rsidRPr="00CB76D8">
        <w:rPr>
          <w:sz w:val="24"/>
          <w:szCs w:val="24"/>
          <w:lang w:val="es-ES"/>
        </w:rPr>
        <w:t>¿Cuál ha sido el desarrollo normativo jurídico respecto al artículo 66 de la CPE en la que se reconocen los derechos sexuales y derechos reproductivos a todos los bolivianos/as?</w:t>
      </w:r>
      <w:r w:rsidR="00CB76D8" w:rsidRPr="00CB76D8">
        <w:rPr>
          <w:sz w:val="24"/>
          <w:szCs w:val="24"/>
          <w:lang w:val="es-ES"/>
        </w:rPr>
        <w:t>.</w:t>
      </w:r>
    </w:p>
    <w:p w14:paraId="1B9B78A8" w14:textId="4315CCD8" w:rsidR="00D06A1A" w:rsidRPr="00CB76D8" w:rsidRDefault="00EE0699" w:rsidP="00EB0011">
      <w:pPr>
        <w:pStyle w:val="Prrafodelista"/>
        <w:numPr>
          <w:ilvl w:val="0"/>
          <w:numId w:val="4"/>
        </w:numPr>
        <w:spacing w:after="0"/>
        <w:jc w:val="both"/>
        <w:rPr>
          <w:rFonts w:eastAsia="Times New Roman" w:cs="Calibri"/>
          <w:color w:val="000000"/>
          <w:sz w:val="24"/>
          <w:szCs w:val="24"/>
          <w:lang w:eastAsia="es-BO"/>
        </w:rPr>
      </w:pPr>
      <w:r w:rsidRPr="00CB76D8">
        <w:rPr>
          <w:rFonts w:eastAsia="Times New Roman" w:cs="Calibri"/>
          <w:color w:val="000000"/>
          <w:sz w:val="24"/>
          <w:szCs w:val="24"/>
          <w:lang w:eastAsia="es-BO"/>
        </w:rPr>
        <w:t>¿Cuánt</w:t>
      </w:r>
      <w:r w:rsidR="00FC3333" w:rsidRPr="00CB76D8">
        <w:rPr>
          <w:rFonts w:eastAsia="Times New Roman" w:cs="Calibri"/>
          <w:color w:val="000000"/>
          <w:sz w:val="24"/>
          <w:szCs w:val="24"/>
          <w:lang w:eastAsia="es-BO"/>
        </w:rPr>
        <w:t xml:space="preserve">o considera el </w:t>
      </w:r>
      <w:r w:rsidR="006552BF" w:rsidRPr="00CB76D8">
        <w:rPr>
          <w:rFonts w:eastAsia="Times New Roman" w:cs="Calibri"/>
          <w:color w:val="000000"/>
          <w:sz w:val="24"/>
          <w:szCs w:val="24"/>
          <w:lang w:eastAsia="es-BO"/>
        </w:rPr>
        <w:t>Estado Parte</w:t>
      </w:r>
      <w:r w:rsidRPr="00CB76D8">
        <w:rPr>
          <w:rFonts w:eastAsia="Times New Roman" w:cs="Calibri"/>
          <w:color w:val="000000"/>
          <w:sz w:val="24"/>
          <w:szCs w:val="24"/>
          <w:lang w:eastAsia="es-BO"/>
        </w:rPr>
        <w:t xml:space="preserve"> que se ha</w:t>
      </w:r>
      <w:r w:rsidR="00FC3333" w:rsidRPr="00CB76D8">
        <w:rPr>
          <w:rFonts w:eastAsia="Times New Roman" w:cs="Calibri"/>
          <w:color w:val="000000"/>
          <w:sz w:val="24"/>
          <w:szCs w:val="24"/>
          <w:lang w:eastAsia="es-BO"/>
        </w:rPr>
        <w:t xml:space="preserve"> avanzado en la i</w:t>
      </w:r>
      <w:r w:rsidR="001B6C7D" w:rsidRPr="00CB76D8">
        <w:rPr>
          <w:rFonts w:eastAsia="Times New Roman" w:cs="Calibri"/>
          <w:color w:val="000000"/>
          <w:sz w:val="24"/>
          <w:szCs w:val="24"/>
          <w:lang w:eastAsia="es-BO"/>
        </w:rPr>
        <w:t xml:space="preserve">mplementación y grado de cumplimiento del Plan </w:t>
      </w:r>
      <w:r w:rsidR="00BC7297" w:rsidRPr="00CB76D8">
        <w:rPr>
          <w:rFonts w:eastAsia="Times New Roman" w:cs="Calibri"/>
          <w:color w:val="000000"/>
          <w:sz w:val="24"/>
          <w:szCs w:val="24"/>
          <w:lang w:eastAsia="es-BO"/>
        </w:rPr>
        <w:t xml:space="preserve">Plurinacional </w:t>
      </w:r>
      <w:r w:rsidR="001B6C7D" w:rsidRPr="00CB76D8">
        <w:rPr>
          <w:rFonts w:eastAsia="Times New Roman" w:cs="Calibri"/>
          <w:color w:val="000000"/>
          <w:sz w:val="24"/>
          <w:szCs w:val="24"/>
          <w:lang w:eastAsia="es-BO"/>
        </w:rPr>
        <w:t>de Prevención del Embarazo Adolescente</w:t>
      </w:r>
      <w:r w:rsidR="00FC3333" w:rsidRPr="00CB76D8">
        <w:rPr>
          <w:rFonts w:eastAsia="Times New Roman" w:cs="Calibri"/>
          <w:color w:val="000000"/>
          <w:sz w:val="24"/>
          <w:szCs w:val="24"/>
          <w:lang w:eastAsia="es-BO"/>
        </w:rPr>
        <w:t>, con qué información estadística se cuenta al respecto?</w:t>
      </w:r>
      <w:r w:rsidR="00CB76D8" w:rsidRPr="00CB76D8">
        <w:rPr>
          <w:rFonts w:eastAsia="Times New Roman" w:cs="Calibri"/>
          <w:color w:val="000000"/>
          <w:sz w:val="24"/>
          <w:szCs w:val="24"/>
          <w:lang w:eastAsia="es-BO"/>
        </w:rPr>
        <w:t>.</w:t>
      </w:r>
    </w:p>
    <w:p w14:paraId="36708CAA" w14:textId="366062D8" w:rsidR="00D06A1A" w:rsidRPr="00CB76D8" w:rsidRDefault="00D06A1A" w:rsidP="00EB0011">
      <w:pPr>
        <w:pStyle w:val="Prrafodelista"/>
        <w:numPr>
          <w:ilvl w:val="0"/>
          <w:numId w:val="4"/>
        </w:numPr>
        <w:spacing w:after="0"/>
        <w:jc w:val="both"/>
        <w:rPr>
          <w:rFonts w:eastAsia="Times New Roman" w:cs="Calibri"/>
          <w:color w:val="000000"/>
          <w:sz w:val="24"/>
          <w:szCs w:val="24"/>
          <w:lang w:eastAsia="es-BO"/>
        </w:rPr>
      </w:pPr>
      <w:r w:rsidRPr="00CB76D8">
        <w:rPr>
          <w:rFonts w:eastAsia="Times New Roman" w:cs="Calibri"/>
          <w:color w:val="000000"/>
          <w:sz w:val="24"/>
          <w:szCs w:val="24"/>
          <w:lang w:eastAsia="es-BO"/>
        </w:rPr>
        <w:t>¿El acceso al aborto legal en las causales previstas en la ley vigente son garantizadas por el Estado du</w:t>
      </w:r>
      <w:r w:rsidR="00EE0699" w:rsidRPr="00CB76D8">
        <w:rPr>
          <w:rFonts w:eastAsia="Times New Roman" w:cs="Calibri"/>
          <w:color w:val="000000"/>
          <w:sz w:val="24"/>
          <w:szCs w:val="24"/>
          <w:lang w:eastAsia="es-BO"/>
        </w:rPr>
        <w:t>rante la pandemia por COVID-19?</w:t>
      </w:r>
      <w:r w:rsidR="00CB76D8" w:rsidRPr="00CB76D8">
        <w:rPr>
          <w:rFonts w:eastAsia="Times New Roman" w:cs="Calibri"/>
          <w:color w:val="000000"/>
          <w:sz w:val="24"/>
          <w:szCs w:val="24"/>
          <w:lang w:eastAsia="es-BO"/>
        </w:rPr>
        <w:t>.</w:t>
      </w:r>
    </w:p>
    <w:p w14:paraId="16D1221D" w14:textId="2ABCD349" w:rsidR="00EB0011" w:rsidRDefault="00EB0011" w:rsidP="00EB0011">
      <w:pPr>
        <w:pStyle w:val="Prrafodelista"/>
        <w:numPr>
          <w:ilvl w:val="0"/>
          <w:numId w:val="4"/>
        </w:numPr>
        <w:spacing w:after="0"/>
        <w:jc w:val="both"/>
        <w:rPr>
          <w:rFonts w:eastAsia="Times New Roman" w:cs="Calibri"/>
          <w:color w:val="000000"/>
          <w:sz w:val="24"/>
          <w:szCs w:val="24"/>
          <w:lang w:eastAsia="es-BO"/>
        </w:rPr>
      </w:pPr>
      <w:r w:rsidRPr="00CB76D8">
        <w:rPr>
          <w:rFonts w:eastAsia="Times New Roman" w:cs="Calibri"/>
          <w:color w:val="000000"/>
          <w:sz w:val="24"/>
          <w:szCs w:val="24"/>
          <w:lang w:eastAsia="es-BO"/>
        </w:rPr>
        <w:t xml:space="preserve">¿Qué servicios en materia de salud sexual y </w:t>
      </w:r>
      <w:r w:rsidR="00BC7297" w:rsidRPr="00CB76D8">
        <w:rPr>
          <w:rFonts w:eastAsia="Times New Roman" w:cs="Calibri"/>
          <w:color w:val="000000"/>
          <w:sz w:val="24"/>
          <w:szCs w:val="24"/>
          <w:lang w:eastAsia="es-BO"/>
        </w:rPr>
        <w:t>salud reproductiva</w:t>
      </w:r>
      <w:r w:rsidRPr="00CB76D8">
        <w:rPr>
          <w:rFonts w:eastAsia="Times New Roman" w:cs="Calibri"/>
          <w:color w:val="000000"/>
          <w:sz w:val="24"/>
          <w:szCs w:val="24"/>
          <w:lang w:eastAsia="es-BO"/>
        </w:rPr>
        <w:t xml:space="preserve"> son garantizados como servicios esenciales </w:t>
      </w:r>
      <w:r w:rsidR="00B55A52" w:rsidRPr="00CB76D8">
        <w:rPr>
          <w:rFonts w:eastAsia="Times New Roman" w:cs="Calibri"/>
          <w:color w:val="000000"/>
          <w:sz w:val="24"/>
          <w:szCs w:val="24"/>
          <w:lang w:eastAsia="es-BO"/>
        </w:rPr>
        <w:t xml:space="preserve">(dotación de anticonceptivos, orientación en salud sexual y reproductiva, tratamiento de ITS y Vih, atención de la gestación, interrupciones legales del embarazo), </w:t>
      </w:r>
      <w:r w:rsidR="003E49F9" w:rsidRPr="00CB76D8">
        <w:rPr>
          <w:rFonts w:eastAsia="Times New Roman" w:cs="Calibri"/>
          <w:color w:val="000000"/>
          <w:sz w:val="24"/>
          <w:szCs w:val="24"/>
          <w:lang w:eastAsia="es-BO"/>
        </w:rPr>
        <w:t>en el contexto de la COVID-19?</w:t>
      </w:r>
      <w:r w:rsidR="00CB76D8" w:rsidRPr="00CB76D8">
        <w:rPr>
          <w:rFonts w:eastAsia="Times New Roman" w:cs="Calibri"/>
          <w:color w:val="000000"/>
          <w:sz w:val="24"/>
          <w:szCs w:val="24"/>
          <w:lang w:eastAsia="es-BO"/>
        </w:rPr>
        <w:t>.</w:t>
      </w:r>
    </w:p>
    <w:p w14:paraId="3290CD17" w14:textId="2219044E" w:rsidR="00775272" w:rsidRPr="00CB76D8" w:rsidRDefault="00775272" w:rsidP="00EB0011">
      <w:pPr>
        <w:pStyle w:val="Prrafodelista"/>
        <w:numPr>
          <w:ilvl w:val="0"/>
          <w:numId w:val="4"/>
        </w:numPr>
        <w:spacing w:after="0"/>
        <w:jc w:val="both"/>
        <w:rPr>
          <w:rFonts w:eastAsia="Times New Roman" w:cs="Calibri"/>
          <w:color w:val="000000"/>
          <w:sz w:val="24"/>
          <w:szCs w:val="24"/>
          <w:lang w:eastAsia="es-BO"/>
        </w:rPr>
      </w:pPr>
      <w:r>
        <w:rPr>
          <w:rFonts w:eastAsia="Times New Roman" w:cs="Calibri"/>
          <w:color w:val="000000"/>
          <w:sz w:val="24"/>
          <w:szCs w:val="24"/>
          <w:lang w:eastAsia="es-BO"/>
        </w:rPr>
        <w:t>¿Cómo mide el Estado Parte los efectos sociales y de salud del COVId 19 en la vida de las niñas, adolescentes, jóvenes y mujeres?.</w:t>
      </w:r>
    </w:p>
    <w:p w14:paraId="2AD00AF5" w14:textId="77777777" w:rsidR="00265DAB" w:rsidRPr="00CB76D8" w:rsidRDefault="00265DAB" w:rsidP="00265DAB">
      <w:pPr>
        <w:pStyle w:val="Prrafodelista"/>
        <w:spacing w:after="0"/>
        <w:jc w:val="both"/>
        <w:rPr>
          <w:rFonts w:eastAsia="Times New Roman" w:cs="Calibri"/>
          <w:color w:val="000000"/>
          <w:sz w:val="24"/>
          <w:szCs w:val="24"/>
          <w:lang w:eastAsia="es-BO"/>
        </w:rPr>
      </w:pPr>
    </w:p>
    <w:p w14:paraId="26DB6CAF" w14:textId="77777777" w:rsidR="00F42FDA" w:rsidRPr="00CB76D8" w:rsidRDefault="00F42FDA" w:rsidP="00D06A1A">
      <w:pPr>
        <w:spacing w:after="0"/>
        <w:jc w:val="both"/>
        <w:rPr>
          <w:rFonts w:eastAsia="Times New Roman" w:cs="Calibri"/>
          <w:b/>
          <w:color w:val="000000"/>
          <w:sz w:val="24"/>
          <w:szCs w:val="24"/>
          <w:lang w:eastAsia="es-BO"/>
        </w:rPr>
      </w:pPr>
      <w:r w:rsidRPr="00CB76D8">
        <w:rPr>
          <w:rFonts w:eastAsia="Times New Roman" w:cs="Calibri"/>
          <w:b/>
          <w:color w:val="000000"/>
          <w:sz w:val="24"/>
          <w:szCs w:val="24"/>
          <w:lang w:eastAsia="es-BO"/>
        </w:rPr>
        <w:lastRenderedPageBreak/>
        <w:t>EMPLEO</w:t>
      </w:r>
      <w:r w:rsidR="009221D0" w:rsidRPr="00CB76D8">
        <w:rPr>
          <w:rFonts w:eastAsia="Times New Roman" w:cs="Calibri"/>
          <w:b/>
          <w:color w:val="000000"/>
          <w:sz w:val="24"/>
          <w:szCs w:val="24"/>
          <w:lang w:eastAsia="es-BO"/>
        </w:rPr>
        <w:t xml:space="preserve"> </w:t>
      </w:r>
      <w:r w:rsidR="009221D0" w:rsidRPr="00CB76D8">
        <w:rPr>
          <w:b/>
          <w:sz w:val="24"/>
          <w:szCs w:val="24"/>
        </w:rPr>
        <w:t>(Artículo 11 de la CEDAW)</w:t>
      </w:r>
    </w:p>
    <w:p w14:paraId="4AE54D2A" w14:textId="77777777" w:rsidR="00F42FDA" w:rsidRPr="00CB76D8" w:rsidRDefault="00F42FDA" w:rsidP="00D06A1A">
      <w:pPr>
        <w:spacing w:after="0"/>
        <w:jc w:val="both"/>
        <w:rPr>
          <w:rFonts w:eastAsia="Times New Roman" w:cs="Calibri"/>
          <w:color w:val="000000"/>
          <w:sz w:val="24"/>
          <w:szCs w:val="24"/>
          <w:lang w:eastAsia="es-BO"/>
        </w:rPr>
      </w:pPr>
    </w:p>
    <w:p w14:paraId="59CE2B0F" w14:textId="7641D0F6" w:rsidR="00F62EB9" w:rsidRPr="00CB76D8" w:rsidRDefault="00F62EB9" w:rsidP="00692DC2">
      <w:pPr>
        <w:pStyle w:val="Prrafodelista"/>
        <w:numPr>
          <w:ilvl w:val="0"/>
          <w:numId w:val="17"/>
        </w:numPr>
        <w:jc w:val="both"/>
        <w:rPr>
          <w:rFonts w:cs="Calibri"/>
          <w:sz w:val="24"/>
          <w:szCs w:val="24"/>
          <w:shd w:val="clear" w:color="auto" w:fill="FFFFFF"/>
        </w:rPr>
      </w:pPr>
      <w:r w:rsidRPr="00CB76D8">
        <w:rPr>
          <w:rFonts w:cs="Calibri"/>
          <w:color w:val="000000"/>
          <w:sz w:val="24"/>
          <w:szCs w:val="24"/>
          <w:shd w:val="clear" w:color="auto" w:fill="FFFFFF"/>
        </w:rPr>
        <w:t>En relación a las políticas de empleo y reducción de la pobreza, la “</w:t>
      </w:r>
      <w:r w:rsidRPr="00CB76D8">
        <w:rPr>
          <w:rFonts w:cs="Calibri"/>
          <w:i/>
          <w:color w:val="000000"/>
          <w:sz w:val="24"/>
          <w:szCs w:val="24"/>
          <w:shd w:val="clear" w:color="auto" w:fill="FFFFFF"/>
        </w:rPr>
        <w:t>Encuesta de Hogares</w:t>
      </w:r>
      <w:r w:rsidRPr="00CB76D8">
        <w:rPr>
          <w:rFonts w:cs="Calibri"/>
          <w:color w:val="000000"/>
          <w:sz w:val="24"/>
          <w:szCs w:val="24"/>
          <w:shd w:val="clear" w:color="auto" w:fill="FFFFFF"/>
        </w:rPr>
        <w:t xml:space="preserve">” del INE </w:t>
      </w:r>
      <w:r w:rsidR="005C538F" w:rsidRPr="00CB76D8">
        <w:rPr>
          <w:rFonts w:cs="Calibri"/>
          <w:color w:val="000000"/>
          <w:sz w:val="24"/>
          <w:szCs w:val="24"/>
          <w:shd w:val="clear" w:color="auto" w:fill="FFFFFF"/>
        </w:rPr>
        <w:t>(2018</w:t>
      </w:r>
      <w:r w:rsidRPr="00CB76D8">
        <w:rPr>
          <w:rFonts w:cs="Calibri"/>
          <w:color w:val="000000"/>
          <w:sz w:val="24"/>
          <w:szCs w:val="24"/>
          <w:shd w:val="clear" w:color="auto" w:fill="FFFFFF"/>
        </w:rPr>
        <w:t>), señala que el 2015 el 69.95% de los hombres tenían un trabajo, mientras que tratándose de las mujeres el porcentaje llegaba al 48.24%.</w:t>
      </w:r>
      <w:r w:rsidR="00EE0699" w:rsidRPr="00CB76D8">
        <w:rPr>
          <w:rFonts w:cs="Calibri"/>
          <w:color w:val="000000"/>
          <w:sz w:val="24"/>
          <w:szCs w:val="24"/>
          <w:shd w:val="clear" w:color="auto" w:fill="FFFFFF"/>
        </w:rPr>
        <w:t xml:space="preserve"> </w:t>
      </w:r>
      <w:r w:rsidRPr="00CB76D8">
        <w:rPr>
          <w:sz w:val="24"/>
          <w:szCs w:val="24"/>
        </w:rPr>
        <w:t xml:space="preserve">La tendencia a la informalidad en el empleo no ha tenido cambios significativos. </w:t>
      </w:r>
      <w:r w:rsidRPr="00CB76D8">
        <w:rPr>
          <w:rFonts w:cs="Calibri"/>
          <w:color w:val="000000"/>
          <w:sz w:val="24"/>
          <w:szCs w:val="24"/>
          <w:shd w:val="clear" w:color="auto" w:fill="FFFFFF"/>
        </w:rPr>
        <w:t>En las</w:t>
      </w:r>
      <w:r w:rsidRPr="00CB76D8">
        <w:rPr>
          <w:rFonts w:cs="Calibri"/>
          <w:color w:val="000000"/>
          <w:sz w:val="24"/>
          <w:szCs w:val="24"/>
          <w:bdr w:val="none" w:sz="0" w:space="0" w:color="auto" w:frame="1"/>
        </w:rPr>
        <w:t xml:space="preserve"> “Estadísticas con Enfoque de Género” del INE (2017) se señala que de acuerdo al censo 2012, cuatro de cada diez mujeres se encuentran en condición de pobreza, si bien en la última década, Bolivia ha experimentado un proceso de reducción de la pobreza, la brecha entre hombres y mujeres continúa, así como la brecha entre el área urbana y rural</w:t>
      </w:r>
      <w:r w:rsidRPr="00CB76D8">
        <w:rPr>
          <w:sz w:val="24"/>
          <w:szCs w:val="24"/>
        </w:rPr>
        <w:t xml:space="preserve">. </w:t>
      </w:r>
    </w:p>
    <w:p w14:paraId="7E17AB28" w14:textId="50A6F739" w:rsidR="00CB76D8" w:rsidRPr="00CB76D8" w:rsidRDefault="00A35FFF" w:rsidP="00692DC2">
      <w:pPr>
        <w:pStyle w:val="Prrafodelista"/>
        <w:numPr>
          <w:ilvl w:val="0"/>
          <w:numId w:val="17"/>
        </w:numPr>
        <w:autoSpaceDE w:val="0"/>
        <w:autoSpaceDN w:val="0"/>
        <w:adjustRightInd w:val="0"/>
        <w:spacing w:after="0"/>
        <w:jc w:val="both"/>
        <w:rPr>
          <w:rFonts w:cs="Calibri"/>
          <w:b/>
          <w:sz w:val="24"/>
          <w:szCs w:val="24"/>
          <w:bdr w:val="none" w:sz="0" w:space="0" w:color="auto" w:frame="1"/>
        </w:rPr>
      </w:pPr>
      <w:r w:rsidRPr="00CB76D8">
        <w:rPr>
          <w:rFonts w:cs="TwCenMT-Regular"/>
          <w:sz w:val="24"/>
          <w:szCs w:val="24"/>
        </w:rPr>
        <w:t xml:space="preserve">La participación de las mujeres en el ámbito del trabajo se caracteriza por la precariedad, por encontrarse en el ámbito de la informalidad y en consecuencia sin derechos laborales, ni aportaciones a los sistemas previsionales, no cuentan con sistema de seguridad social de corto plazo (seguros de salud) y largo plazo (sistemas de pensiones), perciben salarios menores que los hombres, tienen jornadas laborales extendidas, son frecuentemente eventuales, no se les permite sindicalizarse. </w:t>
      </w:r>
      <w:r w:rsidR="00CB76D8" w:rsidRPr="00CB76D8">
        <w:rPr>
          <w:rFonts w:cs="TwCenMT-Regular"/>
          <w:sz w:val="24"/>
          <w:szCs w:val="24"/>
        </w:rPr>
        <w:t>E</w:t>
      </w:r>
      <w:r w:rsidRPr="00CB76D8">
        <w:rPr>
          <w:rFonts w:cs="TwCenMT-Regular"/>
          <w:sz w:val="24"/>
          <w:szCs w:val="24"/>
        </w:rPr>
        <w:t>nfrentan situaciones de acoso sexual y acoso laboral, además de otras formas de violencia basada en género en el espacio de trabajo.</w:t>
      </w:r>
    </w:p>
    <w:p w14:paraId="02087B06" w14:textId="6D0E14F7" w:rsidR="00F62EB9" w:rsidRPr="00CB76D8" w:rsidRDefault="00F62EB9" w:rsidP="00692DC2">
      <w:pPr>
        <w:pStyle w:val="Prrafodelista"/>
        <w:numPr>
          <w:ilvl w:val="0"/>
          <w:numId w:val="17"/>
        </w:numPr>
        <w:autoSpaceDE w:val="0"/>
        <w:autoSpaceDN w:val="0"/>
        <w:adjustRightInd w:val="0"/>
        <w:spacing w:after="0"/>
        <w:jc w:val="both"/>
        <w:rPr>
          <w:rFonts w:cs="Calibri"/>
          <w:b/>
          <w:sz w:val="24"/>
          <w:szCs w:val="24"/>
          <w:bdr w:val="none" w:sz="0" w:space="0" w:color="auto" w:frame="1"/>
        </w:rPr>
      </w:pPr>
      <w:r w:rsidRPr="00CB76D8">
        <w:rPr>
          <w:rFonts w:cs="Calibri"/>
          <w:color w:val="000000"/>
          <w:sz w:val="24"/>
          <w:szCs w:val="24"/>
          <w:bdr w:val="none" w:sz="0" w:space="0" w:color="auto" w:frame="1"/>
        </w:rPr>
        <w:t>La organización del trabajo familiar y específicamente el cuidado de la familia, siguen considerándose tareas que desempeñan casi exclusivamente las mujeres. La definición de los roles específicos hacia las mujeres, las convierten en seres subordinados y destinados a la reproducción, la crianza de los hijos, las tareas domésticas y la provisión de placer, generan al mismo tiempo un sistema de discriminación constante y creciente al negarle el acceso pleno a los espacios políticos, económicos, educativos e incluso culturales</w:t>
      </w:r>
      <w:r w:rsidR="00BB5732" w:rsidRPr="00CB76D8">
        <w:rPr>
          <w:rStyle w:val="Refdenotaalpie"/>
          <w:rFonts w:cs="Calibri"/>
          <w:color w:val="000000"/>
          <w:sz w:val="24"/>
          <w:szCs w:val="24"/>
          <w:bdr w:val="none" w:sz="0" w:space="0" w:color="auto" w:frame="1"/>
        </w:rPr>
        <w:footnoteReference w:id="16"/>
      </w:r>
      <w:r w:rsidRPr="00CB76D8">
        <w:rPr>
          <w:rFonts w:cs="Calibri"/>
          <w:color w:val="000000"/>
          <w:sz w:val="24"/>
          <w:szCs w:val="24"/>
          <w:bdr w:val="none" w:sz="0" w:space="0" w:color="auto" w:frame="1"/>
        </w:rPr>
        <w:t xml:space="preserve">. </w:t>
      </w:r>
    </w:p>
    <w:p w14:paraId="13B18D4E" w14:textId="77777777" w:rsidR="00F62EB9" w:rsidRPr="00CB76D8" w:rsidRDefault="00F62EB9" w:rsidP="00692DC2">
      <w:pPr>
        <w:pStyle w:val="Prrafodelista"/>
        <w:numPr>
          <w:ilvl w:val="0"/>
          <w:numId w:val="17"/>
        </w:numPr>
        <w:jc w:val="both"/>
        <w:rPr>
          <w:rFonts w:cs="Calibri"/>
          <w:b/>
          <w:color w:val="000000"/>
          <w:sz w:val="24"/>
          <w:szCs w:val="24"/>
          <w:bdr w:val="none" w:sz="0" w:space="0" w:color="auto" w:frame="1"/>
        </w:rPr>
      </w:pPr>
      <w:r w:rsidRPr="00CB76D8">
        <w:rPr>
          <w:rFonts w:eastAsia="Times New Roman"/>
          <w:sz w:val="24"/>
          <w:szCs w:val="24"/>
          <w:lang w:val="es-ES" w:eastAsia="es-ES"/>
        </w:rPr>
        <w:t xml:space="preserve">En relación al trabajo asalariado del hogar, </w:t>
      </w:r>
      <w:r w:rsidRPr="00CB76D8">
        <w:rPr>
          <w:rFonts w:eastAsia="Times New Roman" w:cs="Arial"/>
          <w:sz w:val="24"/>
          <w:szCs w:val="24"/>
          <w:lang w:eastAsia="es-BO"/>
        </w:rPr>
        <w:t>las trabajadoras no pueden acceder a la seguridad social de corto y largo plazo porque la ley que regula su oficio (Ley No. 2450) promulgada hace 17 años aún no tiene una reglamentación</w:t>
      </w:r>
      <w:r w:rsidRPr="00CB76D8">
        <w:rPr>
          <w:rFonts w:cs="Calibri"/>
          <w:b/>
          <w:sz w:val="24"/>
          <w:szCs w:val="24"/>
          <w:bdr w:val="none" w:sz="0" w:space="0" w:color="auto" w:frame="1"/>
        </w:rPr>
        <w:t xml:space="preserve">. </w:t>
      </w:r>
      <w:r w:rsidRPr="00CB76D8">
        <w:rPr>
          <w:rFonts w:eastAsia="Times New Roman"/>
          <w:sz w:val="24"/>
          <w:szCs w:val="24"/>
          <w:lang w:val="es-ES" w:eastAsia="es-ES"/>
        </w:rPr>
        <w:t xml:space="preserve">Del total </w:t>
      </w:r>
      <w:r w:rsidRPr="00CB76D8">
        <w:rPr>
          <w:sz w:val="24"/>
          <w:szCs w:val="24"/>
          <w:shd w:val="clear" w:color="auto" w:fill="FFFFFF"/>
        </w:rPr>
        <w:t xml:space="preserve">de trabajadoras (109.321) sólo el 5,3% cuenta con un contrato de trabajo que le da seguridad de contar con su fuente laboral por el tiempo establecido y percibiendo beneficios que le corresponde, mostrando el enorme déficit en la práctica de formalización de la relación contractual </w:t>
      </w:r>
      <w:r w:rsidR="005C538F" w:rsidRPr="00CB76D8">
        <w:rPr>
          <w:sz w:val="24"/>
          <w:szCs w:val="24"/>
          <w:shd w:val="clear" w:color="auto" w:fill="FFFFFF"/>
        </w:rPr>
        <w:t>(OIT, 2015</w:t>
      </w:r>
      <w:r w:rsidRPr="00CB76D8">
        <w:rPr>
          <w:sz w:val="24"/>
          <w:szCs w:val="24"/>
          <w:shd w:val="clear" w:color="auto" w:fill="FFFFFF"/>
        </w:rPr>
        <w:t>), aumentando la precarización laboral.</w:t>
      </w:r>
    </w:p>
    <w:p w14:paraId="1D869F5D" w14:textId="10555945" w:rsidR="001B6C7D" w:rsidRPr="00CB76D8" w:rsidRDefault="00531145" w:rsidP="00D06A1A">
      <w:pPr>
        <w:spacing w:after="0"/>
        <w:jc w:val="both"/>
        <w:rPr>
          <w:b/>
          <w:i/>
          <w:sz w:val="24"/>
          <w:szCs w:val="24"/>
        </w:rPr>
      </w:pPr>
      <w:r w:rsidRPr="00CB76D8">
        <w:rPr>
          <w:b/>
          <w:i/>
          <w:sz w:val="24"/>
          <w:szCs w:val="24"/>
        </w:rPr>
        <w:t>Sugerencias de cuestiones:</w:t>
      </w:r>
    </w:p>
    <w:p w14:paraId="509C64D6" w14:textId="77777777" w:rsidR="001B6C7D" w:rsidRPr="00CB76D8" w:rsidRDefault="001B6C7D" w:rsidP="00D06A1A">
      <w:pPr>
        <w:spacing w:after="0"/>
        <w:jc w:val="both"/>
        <w:rPr>
          <w:b/>
          <w:sz w:val="24"/>
          <w:szCs w:val="24"/>
        </w:rPr>
      </w:pPr>
    </w:p>
    <w:p w14:paraId="1AD54C79" w14:textId="56F90C17" w:rsidR="00F62EB9" w:rsidRPr="00CB76D8" w:rsidRDefault="00F62EB9" w:rsidP="00EB0011">
      <w:pPr>
        <w:pStyle w:val="Prrafodelista"/>
        <w:numPr>
          <w:ilvl w:val="0"/>
          <w:numId w:val="3"/>
        </w:numPr>
        <w:spacing w:after="0"/>
        <w:jc w:val="both"/>
        <w:rPr>
          <w:sz w:val="24"/>
          <w:szCs w:val="24"/>
        </w:rPr>
      </w:pPr>
      <w:r w:rsidRPr="00CB76D8">
        <w:rPr>
          <w:sz w:val="24"/>
          <w:szCs w:val="24"/>
          <w:lang w:val="es-CO"/>
        </w:rPr>
        <w:lastRenderedPageBreak/>
        <w:t xml:space="preserve">¿Qué medidas concretas ha tomado el </w:t>
      </w:r>
      <w:r w:rsidR="006552BF" w:rsidRPr="00CB76D8">
        <w:rPr>
          <w:sz w:val="24"/>
          <w:szCs w:val="24"/>
          <w:lang w:val="es-CO"/>
        </w:rPr>
        <w:t>Estado Parte</w:t>
      </w:r>
      <w:r w:rsidRPr="00CB76D8">
        <w:rPr>
          <w:sz w:val="24"/>
          <w:szCs w:val="24"/>
          <w:lang w:val="es-CO"/>
        </w:rPr>
        <w:t xml:space="preserve"> para asegurar efectivamente el derecho al trabajo y el derecho a condiciones justas y favorables de trabajo libres de discr</w:t>
      </w:r>
      <w:r w:rsidR="00EE0699" w:rsidRPr="00CB76D8">
        <w:rPr>
          <w:sz w:val="24"/>
          <w:szCs w:val="24"/>
          <w:lang w:val="es-CO"/>
        </w:rPr>
        <w:t>iminación por cualquier motivo?</w:t>
      </w:r>
      <w:r w:rsidR="00CB76D8" w:rsidRPr="00CB76D8">
        <w:rPr>
          <w:sz w:val="24"/>
          <w:szCs w:val="24"/>
          <w:lang w:val="es-CO"/>
        </w:rPr>
        <w:t>.</w:t>
      </w:r>
    </w:p>
    <w:p w14:paraId="03E37290" w14:textId="77777777" w:rsidR="001B6C7D" w:rsidRPr="00CB76D8" w:rsidRDefault="00D936E1" w:rsidP="00EB0011">
      <w:pPr>
        <w:pStyle w:val="Prrafodelista"/>
        <w:numPr>
          <w:ilvl w:val="0"/>
          <w:numId w:val="3"/>
        </w:numPr>
        <w:spacing w:after="0"/>
        <w:jc w:val="both"/>
        <w:rPr>
          <w:sz w:val="24"/>
          <w:szCs w:val="24"/>
        </w:rPr>
      </w:pPr>
      <w:r w:rsidRPr="00CB76D8">
        <w:rPr>
          <w:sz w:val="24"/>
          <w:szCs w:val="24"/>
        </w:rPr>
        <w:t>¿Qué p</w:t>
      </w:r>
      <w:r w:rsidR="001B6C7D" w:rsidRPr="00CB76D8">
        <w:rPr>
          <w:sz w:val="24"/>
          <w:szCs w:val="24"/>
        </w:rPr>
        <w:t xml:space="preserve">olíticas públicas para combatir la informalidad y el sub empleo, que afecta mayoritariamente </w:t>
      </w:r>
      <w:r w:rsidR="00647540" w:rsidRPr="00CB76D8">
        <w:rPr>
          <w:sz w:val="24"/>
          <w:szCs w:val="24"/>
        </w:rPr>
        <w:t xml:space="preserve">a las mujeres </w:t>
      </w:r>
      <w:r w:rsidRPr="00CB76D8">
        <w:rPr>
          <w:sz w:val="24"/>
          <w:szCs w:val="24"/>
        </w:rPr>
        <w:t>se han</w:t>
      </w:r>
      <w:r w:rsidR="00EE0699" w:rsidRPr="00CB76D8">
        <w:rPr>
          <w:sz w:val="24"/>
          <w:szCs w:val="24"/>
        </w:rPr>
        <w:t xml:space="preserve"> adoptado y con qué resultados?</w:t>
      </w:r>
      <w:r w:rsidR="00EB0011" w:rsidRPr="00CB76D8">
        <w:rPr>
          <w:sz w:val="24"/>
          <w:szCs w:val="24"/>
        </w:rPr>
        <w:t>.</w:t>
      </w:r>
      <w:r w:rsidRPr="00CB76D8">
        <w:rPr>
          <w:sz w:val="24"/>
          <w:szCs w:val="24"/>
        </w:rPr>
        <w:t xml:space="preserve"> </w:t>
      </w:r>
    </w:p>
    <w:p w14:paraId="47AE9F0E" w14:textId="77777777" w:rsidR="001B6C7D" w:rsidRPr="00CB76D8" w:rsidRDefault="00D936E1" w:rsidP="00EB0011">
      <w:pPr>
        <w:pStyle w:val="Prrafodelista"/>
        <w:numPr>
          <w:ilvl w:val="0"/>
          <w:numId w:val="3"/>
        </w:numPr>
        <w:spacing w:after="0"/>
        <w:jc w:val="both"/>
        <w:rPr>
          <w:sz w:val="24"/>
          <w:szCs w:val="24"/>
        </w:rPr>
      </w:pPr>
      <w:r w:rsidRPr="00CB76D8">
        <w:rPr>
          <w:sz w:val="24"/>
          <w:szCs w:val="24"/>
        </w:rPr>
        <w:t>Brindar d</w:t>
      </w:r>
      <w:r w:rsidR="001B6C7D" w:rsidRPr="00CB76D8">
        <w:rPr>
          <w:sz w:val="24"/>
          <w:szCs w:val="24"/>
        </w:rPr>
        <w:t xml:space="preserve">atos </w:t>
      </w:r>
      <w:r w:rsidR="00647540" w:rsidRPr="00CB76D8">
        <w:rPr>
          <w:sz w:val="24"/>
          <w:szCs w:val="24"/>
        </w:rPr>
        <w:t xml:space="preserve">actualizados del Programa Mi Primer Empleo Digno, que permitan medir avances de dicha política de inserción </w:t>
      </w:r>
      <w:r w:rsidR="004D24DD" w:rsidRPr="00CB76D8">
        <w:rPr>
          <w:sz w:val="24"/>
          <w:szCs w:val="24"/>
        </w:rPr>
        <w:t>laboral</w:t>
      </w:r>
      <w:r w:rsidR="00647540" w:rsidRPr="00CB76D8">
        <w:rPr>
          <w:sz w:val="24"/>
          <w:szCs w:val="24"/>
        </w:rPr>
        <w:t xml:space="preserve"> de población joven</w:t>
      </w:r>
      <w:r w:rsidR="004D24DD" w:rsidRPr="00CB76D8">
        <w:rPr>
          <w:sz w:val="24"/>
          <w:szCs w:val="24"/>
        </w:rPr>
        <w:t xml:space="preserve"> de escasos recursos.</w:t>
      </w:r>
      <w:r w:rsidR="00647540" w:rsidRPr="00CB76D8">
        <w:rPr>
          <w:sz w:val="24"/>
          <w:szCs w:val="24"/>
        </w:rPr>
        <w:t xml:space="preserve"> </w:t>
      </w:r>
    </w:p>
    <w:p w14:paraId="1118C464" w14:textId="77777777" w:rsidR="001B6C7D" w:rsidRPr="00CB76D8" w:rsidRDefault="00CA175D" w:rsidP="00EB0011">
      <w:pPr>
        <w:pStyle w:val="Prrafodelista"/>
        <w:numPr>
          <w:ilvl w:val="0"/>
          <w:numId w:val="3"/>
        </w:numPr>
        <w:spacing w:after="0"/>
        <w:jc w:val="both"/>
        <w:rPr>
          <w:sz w:val="24"/>
          <w:szCs w:val="24"/>
        </w:rPr>
      </w:pPr>
      <w:r w:rsidRPr="00CB76D8">
        <w:rPr>
          <w:sz w:val="24"/>
          <w:szCs w:val="24"/>
        </w:rPr>
        <w:t xml:space="preserve">Brindar </w:t>
      </w:r>
      <w:r w:rsidR="00D936E1" w:rsidRPr="00CB76D8">
        <w:rPr>
          <w:sz w:val="24"/>
          <w:szCs w:val="24"/>
        </w:rPr>
        <w:t xml:space="preserve">datos </w:t>
      </w:r>
      <w:r w:rsidRPr="00CB76D8">
        <w:rPr>
          <w:sz w:val="24"/>
          <w:szCs w:val="24"/>
        </w:rPr>
        <w:t>desglosados</w:t>
      </w:r>
      <w:r w:rsidR="001B6C7D" w:rsidRPr="00CB76D8">
        <w:rPr>
          <w:sz w:val="24"/>
          <w:szCs w:val="24"/>
        </w:rPr>
        <w:t xml:space="preserve"> por sexo del </w:t>
      </w:r>
      <w:r w:rsidR="004D24DD" w:rsidRPr="00CB76D8">
        <w:rPr>
          <w:sz w:val="24"/>
          <w:szCs w:val="24"/>
        </w:rPr>
        <w:t xml:space="preserve">Programa </w:t>
      </w:r>
      <w:r w:rsidR="001B6C7D" w:rsidRPr="00CB76D8">
        <w:rPr>
          <w:sz w:val="24"/>
          <w:szCs w:val="24"/>
        </w:rPr>
        <w:t>de Apoyo al Empleo (PAE I y II),</w:t>
      </w:r>
      <w:r w:rsidR="00BC7778" w:rsidRPr="00CB76D8">
        <w:rPr>
          <w:sz w:val="24"/>
          <w:szCs w:val="24"/>
        </w:rPr>
        <w:t xml:space="preserve"> señalado en el párrafo 108 de su informe,</w:t>
      </w:r>
      <w:r w:rsidR="001B6C7D" w:rsidRPr="00CB76D8">
        <w:rPr>
          <w:sz w:val="24"/>
          <w:szCs w:val="24"/>
        </w:rPr>
        <w:t xml:space="preserve"> </w:t>
      </w:r>
      <w:r w:rsidR="004D24DD" w:rsidRPr="00CB76D8">
        <w:rPr>
          <w:sz w:val="24"/>
          <w:szCs w:val="24"/>
        </w:rPr>
        <w:t>lo cual permitiría tener una lectura más completa respecto de los criterios de equidad en dicho programa.</w:t>
      </w:r>
    </w:p>
    <w:p w14:paraId="7E32DDCE" w14:textId="2B51BC34" w:rsidR="004D24DD" w:rsidRPr="00CB76D8" w:rsidRDefault="00CA175D" w:rsidP="00EB0011">
      <w:pPr>
        <w:pStyle w:val="Prrafodelista"/>
        <w:numPr>
          <w:ilvl w:val="0"/>
          <w:numId w:val="3"/>
        </w:numPr>
        <w:spacing w:after="0"/>
        <w:jc w:val="both"/>
        <w:rPr>
          <w:sz w:val="24"/>
          <w:szCs w:val="24"/>
        </w:rPr>
      </w:pPr>
      <w:r w:rsidRPr="00CB76D8">
        <w:rPr>
          <w:sz w:val="24"/>
          <w:szCs w:val="24"/>
        </w:rPr>
        <w:t>¿</w:t>
      </w:r>
      <w:r w:rsidR="00D936E1" w:rsidRPr="00CB76D8">
        <w:rPr>
          <w:sz w:val="24"/>
          <w:szCs w:val="24"/>
        </w:rPr>
        <w:t>Qué medidas se han tomado para contar con procedimientos de denuncia y sanción ante la violencia laboral incluid</w:t>
      </w:r>
      <w:r w:rsidRPr="00CB76D8">
        <w:rPr>
          <w:sz w:val="24"/>
          <w:szCs w:val="24"/>
        </w:rPr>
        <w:t>o</w:t>
      </w:r>
      <w:r w:rsidR="00D936E1" w:rsidRPr="00CB76D8">
        <w:rPr>
          <w:sz w:val="24"/>
          <w:szCs w:val="24"/>
        </w:rPr>
        <w:t xml:space="preserve"> el acoso laboral</w:t>
      </w:r>
      <w:r w:rsidRPr="00CB76D8">
        <w:rPr>
          <w:sz w:val="24"/>
          <w:szCs w:val="24"/>
        </w:rPr>
        <w:t>, según establece</w:t>
      </w:r>
      <w:r w:rsidR="00D936E1" w:rsidRPr="00CB76D8">
        <w:rPr>
          <w:sz w:val="24"/>
          <w:szCs w:val="24"/>
        </w:rPr>
        <w:t xml:space="preserve"> la Ley No. 348 y su decreto reglamentario</w:t>
      </w:r>
      <w:r w:rsidRPr="00CB76D8">
        <w:rPr>
          <w:sz w:val="24"/>
          <w:szCs w:val="24"/>
        </w:rPr>
        <w:t>?</w:t>
      </w:r>
      <w:r w:rsidR="00CB76D8" w:rsidRPr="00CB76D8">
        <w:rPr>
          <w:sz w:val="24"/>
          <w:szCs w:val="24"/>
        </w:rPr>
        <w:t>.</w:t>
      </w:r>
    </w:p>
    <w:p w14:paraId="007431DC" w14:textId="77777777" w:rsidR="00D06A1A" w:rsidRPr="00CB76D8" w:rsidRDefault="00CA175D" w:rsidP="00EB0011">
      <w:pPr>
        <w:pStyle w:val="Prrafodelista"/>
        <w:numPr>
          <w:ilvl w:val="0"/>
          <w:numId w:val="3"/>
        </w:numPr>
        <w:spacing w:after="0"/>
        <w:jc w:val="both"/>
        <w:rPr>
          <w:rFonts w:cs="Calibri"/>
          <w:color w:val="000000"/>
          <w:sz w:val="24"/>
          <w:szCs w:val="24"/>
          <w:bdr w:val="none" w:sz="0" w:space="0" w:color="auto" w:frame="1"/>
        </w:rPr>
      </w:pPr>
      <w:r w:rsidRPr="00CB76D8">
        <w:rPr>
          <w:sz w:val="24"/>
          <w:szCs w:val="24"/>
        </w:rPr>
        <w:t>Indicar las a</w:t>
      </w:r>
      <w:r w:rsidR="001B6C7D" w:rsidRPr="00CB76D8">
        <w:rPr>
          <w:sz w:val="24"/>
          <w:szCs w:val="24"/>
        </w:rPr>
        <w:t>c</w:t>
      </w:r>
      <w:r w:rsidRPr="00CB76D8">
        <w:rPr>
          <w:sz w:val="24"/>
          <w:szCs w:val="24"/>
        </w:rPr>
        <w:t>c</w:t>
      </w:r>
      <w:r w:rsidR="001B6C7D" w:rsidRPr="00CB76D8">
        <w:rPr>
          <w:sz w:val="24"/>
          <w:szCs w:val="24"/>
        </w:rPr>
        <w:t xml:space="preserve">iones para garantizar los derechos de las mujeres en el marco del trabajo asalariado del hogar, esto es, seguridad social, salud y condiciones dignas principalmente. </w:t>
      </w:r>
      <w:r w:rsidRPr="00CB76D8">
        <w:rPr>
          <w:sz w:val="24"/>
          <w:szCs w:val="24"/>
        </w:rPr>
        <w:t xml:space="preserve">Explique por qué después de 17 años de haberse promulgado la </w:t>
      </w:r>
      <w:r w:rsidRPr="00CB76D8">
        <w:rPr>
          <w:rFonts w:cs="Calibri"/>
          <w:color w:val="000000"/>
          <w:sz w:val="24"/>
          <w:szCs w:val="24"/>
          <w:bdr w:val="none" w:sz="0" w:space="0" w:color="auto" w:frame="1"/>
        </w:rPr>
        <w:t xml:space="preserve">Ley del Trabajo Asalariado del Hogar (9 de abril de 2003) aún no se cuenta con reglamentación. </w:t>
      </w:r>
    </w:p>
    <w:p w14:paraId="721B4E24" w14:textId="79ADD54D" w:rsidR="001B6C7D" w:rsidRPr="00CB76D8" w:rsidRDefault="00A35FFF" w:rsidP="00D06A1A">
      <w:pPr>
        <w:pStyle w:val="Prrafodelista"/>
        <w:numPr>
          <w:ilvl w:val="0"/>
          <w:numId w:val="3"/>
        </w:numPr>
        <w:spacing w:after="0"/>
        <w:jc w:val="both"/>
        <w:rPr>
          <w:rFonts w:cs="Calibri"/>
          <w:color w:val="000000"/>
          <w:sz w:val="24"/>
          <w:szCs w:val="24"/>
          <w:bdr w:val="none" w:sz="0" w:space="0" w:color="auto" w:frame="1"/>
        </w:rPr>
      </w:pPr>
      <w:r w:rsidRPr="00CB76D8">
        <w:rPr>
          <w:rFonts w:cs="Calibri"/>
          <w:color w:val="000000"/>
          <w:sz w:val="24"/>
          <w:szCs w:val="24"/>
        </w:rPr>
        <w:t>¿El Estado Parte ha previsto impulsar una política pública del cuidado, que permita conciliar la vida laboral y familiar para el ejercicio del derecho pleno de las mujeres al trabajo y a la educació</w:t>
      </w:r>
      <w:r w:rsidR="00EE0699" w:rsidRPr="00CB76D8">
        <w:rPr>
          <w:rFonts w:cs="Calibri"/>
          <w:color w:val="000000"/>
          <w:sz w:val="24"/>
          <w:szCs w:val="24"/>
        </w:rPr>
        <w:t xml:space="preserve">n en igualdad de condiciones; y </w:t>
      </w:r>
      <w:r w:rsidRPr="00CB76D8">
        <w:rPr>
          <w:rFonts w:cs="Calibri"/>
          <w:color w:val="000000"/>
          <w:sz w:val="24"/>
          <w:szCs w:val="24"/>
        </w:rPr>
        <w:t>que promueva la corresponsabilidad de los ho</w:t>
      </w:r>
      <w:r w:rsidR="00EE0699" w:rsidRPr="00CB76D8">
        <w:rPr>
          <w:rFonts w:cs="Calibri"/>
          <w:color w:val="000000"/>
          <w:sz w:val="24"/>
          <w:szCs w:val="24"/>
        </w:rPr>
        <w:t>mbres con las tareas de cuidado</w:t>
      </w:r>
      <w:r w:rsidRPr="00CB76D8">
        <w:rPr>
          <w:rFonts w:cs="Calibri"/>
          <w:color w:val="000000"/>
          <w:sz w:val="24"/>
          <w:szCs w:val="24"/>
        </w:rPr>
        <w:t xml:space="preserve"> para revertir las desigualdad</w:t>
      </w:r>
      <w:r w:rsidR="00EE0699" w:rsidRPr="00CB76D8">
        <w:rPr>
          <w:rFonts w:cs="Calibri"/>
          <w:color w:val="000000"/>
          <w:sz w:val="24"/>
          <w:szCs w:val="24"/>
        </w:rPr>
        <w:t>es y la pobreza en las mujeres?</w:t>
      </w:r>
      <w:r w:rsidR="00CB76D8" w:rsidRPr="00CB76D8">
        <w:rPr>
          <w:rFonts w:cs="Calibri"/>
          <w:color w:val="000000"/>
          <w:sz w:val="24"/>
          <w:szCs w:val="24"/>
        </w:rPr>
        <w:t>.</w:t>
      </w:r>
    </w:p>
    <w:p w14:paraId="3E676DE6" w14:textId="77777777" w:rsidR="00BB5732" w:rsidRPr="00CB76D8" w:rsidRDefault="00BB5732" w:rsidP="0070439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asciiTheme="minorHAnsi" w:hAnsiTheme="minorHAnsi" w:cstheme="minorHAnsi"/>
          <w:sz w:val="24"/>
          <w:szCs w:val="24"/>
          <w:lang w:val="es-ES_tradnl"/>
        </w:rPr>
      </w:pPr>
    </w:p>
    <w:p w14:paraId="6D5FC1C5" w14:textId="77777777" w:rsidR="008C7AEF" w:rsidRPr="00CB76D8" w:rsidRDefault="008C7AEF" w:rsidP="008C7A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1267"/>
        <w:rPr>
          <w:rFonts w:asciiTheme="minorHAnsi" w:hAnsiTheme="minorHAnsi" w:cstheme="minorHAnsi"/>
          <w:sz w:val="24"/>
          <w:szCs w:val="24"/>
          <w:lang w:val="es-ES_tradnl"/>
        </w:rPr>
      </w:pPr>
      <w:r w:rsidRPr="00CB76D8">
        <w:rPr>
          <w:rFonts w:asciiTheme="minorHAnsi" w:hAnsiTheme="minorHAnsi" w:cstheme="minorHAnsi"/>
          <w:sz w:val="24"/>
          <w:szCs w:val="24"/>
          <w:lang w:val="es-ES_tradnl"/>
        </w:rPr>
        <w:t>Matrimonio y relaciones familiares (Artículo 16 de la CEDAW)</w:t>
      </w:r>
    </w:p>
    <w:p w14:paraId="0D999C07" w14:textId="77777777" w:rsidR="008C7AEF" w:rsidRPr="00CB76D8" w:rsidRDefault="008C7AEF" w:rsidP="008C7AEF">
      <w:pPr>
        <w:pStyle w:val="H23"/>
        <w:spacing w:line="240" w:lineRule="auto"/>
        <w:jc w:val="both"/>
        <w:rPr>
          <w:rFonts w:asciiTheme="minorHAnsi" w:hAnsiTheme="minorHAnsi"/>
          <w:b w:val="0"/>
          <w:sz w:val="24"/>
          <w:szCs w:val="24"/>
        </w:rPr>
      </w:pPr>
    </w:p>
    <w:p w14:paraId="59037CF4" w14:textId="77777777" w:rsidR="008C7AEF" w:rsidRPr="00CB76D8" w:rsidRDefault="008C7AEF" w:rsidP="00692DC2">
      <w:pPr>
        <w:pStyle w:val="H23"/>
        <w:numPr>
          <w:ilvl w:val="0"/>
          <w:numId w:val="17"/>
        </w:numPr>
        <w:spacing w:line="276" w:lineRule="auto"/>
        <w:jc w:val="both"/>
        <w:rPr>
          <w:rFonts w:asciiTheme="minorHAnsi" w:hAnsiTheme="minorHAnsi" w:cstheme="minorHAnsi"/>
          <w:b w:val="0"/>
          <w:sz w:val="24"/>
          <w:szCs w:val="24"/>
        </w:rPr>
      </w:pPr>
      <w:r w:rsidRPr="00CB76D8">
        <w:rPr>
          <w:rFonts w:asciiTheme="minorHAnsi" w:hAnsiTheme="minorHAnsi" w:cstheme="minorHAnsi"/>
          <w:b w:val="0"/>
          <w:sz w:val="24"/>
          <w:szCs w:val="24"/>
        </w:rPr>
        <w:t xml:space="preserve">La única referencia del informe del Estado Parte sobre esta problemática, se refleja en el párrafo 145 en el que se especifica la edad para contraer matrimonio de acuerdo al actual Código de las Familias y del Proceso Familiar (18 años), y de manera excepcional, 16 años que fue uniformizada la edad para hombres y mujeres. siempre que se cuente con la autorización de quienes ejercen la autoridad parental, la guarda o tutela. Pese a la existencia de esta norma muchas uniones de niñas y adolescentes suceden fuera del ámbito legal en rango de edades menores; </w:t>
      </w:r>
      <w:r w:rsidRPr="00CB76D8">
        <w:rPr>
          <w:rFonts w:asciiTheme="minorHAnsi" w:hAnsiTheme="minorHAnsi"/>
          <w:b w:val="0"/>
          <w:sz w:val="24"/>
          <w:szCs w:val="24"/>
        </w:rPr>
        <w:t xml:space="preserve">se estimaba para el año 2016 que, antes de los 15 años, el 3% de la población en este grupo etario y el 22% de niñas adolescentes se casaron o unieron. </w:t>
      </w:r>
    </w:p>
    <w:p w14:paraId="75DD7042" w14:textId="1D3D1576" w:rsidR="008C7AEF" w:rsidRPr="00CB76D8" w:rsidRDefault="00B149B2" w:rsidP="00692DC2">
      <w:pPr>
        <w:pStyle w:val="H23"/>
        <w:numPr>
          <w:ilvl w:val="0"/>
          <w:numId w:val="17"/>
        </w:numPr>
        <w:spacing w:line="276" w:lineRule="auto"/>
        <w:jc w:val="both"/>
        <w:rPr>
          <w:rFonts w:asciiTheme="minorHAnsi" w:hAnsiTheme="minorHAnsi"/>
          <w:b w:val="0"/>
          <w:sz w:val="24"/>
          <w:szCs w:val="24"/>
        </w:rPr>
      </w:pPr>
      <w:r w:rsidRPr="00CB76D8">
        <w:rPr>
          <w:rFonts w:asciiTheme="minorHAnsi" w:hAnsiTheme="minorHAnsi"/>
          <w:b w:val="0"/>
          <w:sz w:val="24"/>
          <w:szCs w:val="24"/>
        </w:rPr>
        <w:t>Por otro lado</w:t>
      </w:r>
      <w:r w:rsidR="008C7AEF" w:rsidRPr="00CB76D8">
        <w:rPr>
          <w:rFonts w:asciiTheme="minorHAnsi" w:hAnsiTheme="minorHAnsi"/>
          <w:b w:val="0"/>
          <w:sz w:val="24"/>
          <w:szCs w:val="24"/>
        </w:rPr>
        <w:t>, el Código de las familias de 2014 establece en su disposición transitoria quinta que la Asamblea Legislativa Plurinacional sancionará las leyes específicas complementarias al presente Código, garantizando el reconocimiento y ejercicio de todos los derechos de la pluralidad y diversidad de las familias y sus integrantes. Pese al tiempo que ha transcurrido no existe una legislación que garantice iguales derechos a las parejas del mismo sexo.</w:t>
      </w:r>
    </w:p>
    <w:p w14:paraId="758128B3" w14:textId="77777777" w:rsidR="00704397" w:rsidRDefault="00704397" w:rsidP="00704397">
      <w:pPr>
        <w:spacing w:after="0"/>
        <w:jc w:val="both"/>
        <w:rPr>
          <w:b/>
          <w:sz w:val="24"/>
          <w:szCs w:val="24"/>
        </w:rPr>
      </w:pPr>
    </w:p>
    <w:p w14:paraId="53A46863" w14:textId="77777777" w:rsidR="00342D01" w:rsidRDefault="00342D01" w:rsidP="00704397">
      <w:pPr>
        <w:spacing w:after="0"/>
        <w:jc w:val="both"/>
        <w:rPr>
          <w:b/>
          <w:sz w:val="24"/>
          <w:szCs w:val="24"/>
        </w:rPr>
      </w:pPr>
    </w:p>
    <w:p w14:paraId="65457508" w14:textId="77777777" w:rsidR="00342D01" w:rsidRDefault="00342D01" w:rsidP="00704397">
      <w:pPr>
        <w:spacing w:after="0"/>
        <w:jc w:val="both"/>
        <w:rPr>
          <w:b/>
          <w:sz w:val="24"/>
          <w:szCs w:val="24"/>
        </w:rPr>
      </w:pPr>
    </w:p>
    <w:p w14:paraId="770362F2" w14:textId="5F83577A" w:rsidR="00704397" w:rsidRPr="00CB76D8" w:rsidRDefault="00704397" w:rsidP="00704397">
      <w:pPr>
        <w:spacing w:after="0"/>
        <w:jc w:val="both"/>
        <w:rPr>
          <w:b/>
          <w:i/>
          <w:sz w:val="24"/>
          <w:szCs w:val="24"/>
        </w:rPr>
      </w:pPr>
      <w:r w:rsidRPr="00CB76D8">
        <w:rPr>
          <w:b/>
          <w:i/>
          <w:sz w:val="24"/>
          <w:szCs w:val="24"/>
        </w:rPr>
        <w:t>Sugerencia</w:t>
      </w:r>
      <w:r w:rsidR="00BB5732" w:rsidRPr="00CB76D8">
        <w:rPr>
          <w:b/>
          <w:i/>
          <w:sz w:val="24"/>
          <w:szCs w:val="24"/>
        </w:rPr>
        <w:t>s de cuestiones:</w:t>
      </w:r>
    </w:p>
    <w:p w14:paraId="57F7CAEF" w14:textId="77777777" w:rsidR="00704397" w:rsidRPr="00CB76D8" w:rsidRDefault="00704397" w:rsidP="00704397">
      <w:pPr>
        <w:pStyle w:val="SingleTxt"/>
        <w:ind w:left="0"/>
        <w:rPr>
          <w:rFonts w:asciiTheme="minorHAnsi" w:hAnsiTheme="minorHAnsi"/>
          <w:sz w:val="24"/>
          <w:szCs w:val="24"/>
        </w:rPr>
      </w:pPr>
    </w:p>
    <w:p w14:paraId="583117C0" w14:textId="63FA3AB7" w:rsidR="00350126" w:rsidRPr="00CB76D8" w:rsidRDefault="00350126" w:rsidP="00BB5732">
      <w:pPr>
        <w:pStyle w:val="H23"/>
        <w:numPr>
          <w:ilvl w:val="0"/>
          <w:numId w:val="12"/>
        </w:numPr>
        <w:spacing w:line="276" w:lineRule="auto"/>
        <w:jc w:val="both"/>
        <w:rPr>
          <w:rFonts w:asciiTheme="minorHAnsi" w:hAnsiTheme="minorHAnsi"/>
          <w:b w:val="0"/>
          <w:sz w:val="24"/>
          <w:szCs w:val="24"/>
        </w:rPr>
      </w:pPr>
      <w:r w:rsidRPr="00CB76D8">
        <w:rPr>
          <w:rFonts w:asciiTheme="minorHAnsi" w:hAnsiTheme="minorHAnsi" w:cs="Arial"/>
          <w:b w:val="0"/>
          <w:sz w:val="24"/>
          <w:szCs w:val="24"/>
        </w:rPr>
        <w:t xml:space="preserve">¿Con </w:t>
      </w:r>
      <w:r w:rsidR="000F0940" w:rsidRPr="00CB76D8">
        <w:rPr>
          <w:rFonts w:asciiTheme="minorHAnsi" w:hAnsiTheme="minorHAnsi" w:cs="Arial"/>
          <w:b w:val="0"/>
          <w:sz w:val="24"/>
          <w:szCs w:val="24"/>
        </w:rPr>
        <w:t>qué políticas cuenta el Estado P</w:t>
      </w:r>
      <w:r w:rsidRPr="00CB76D8">
        <w:rPr>
          <w:rFonts w:asciiTheme="minorHAnsi" w:hAnsiTheme="minorHAnsi" w:cs="Arial"/>
          <w:b w:val="0"/>
          <w:sz w:val="24"/>
          <w:szCs w:val="24"/>
        </w:rPr>
        <w:t>arte para</w:t>
      </w:r>
      <w:r w:rsidR="000F0940" w:rsidRPr="00CB76D8">
        <w:rPr>
          <w:rFonts w:asciiTheme="minorHAnsi" w:hAnsiTheme="minorHAnsi" w:cs="Arial"/>
          <w:b w:val="0"/>
          <w:sz w:val="24"/>
          <w:szCs w:val="24"/>
        </w:rPr>
        <w:t xml:space="preserve"> la prevención, sanción </w:t>
      </w:r>
      <w:r w:rsidR="00BC7297" w:rsidRPr="00CB76D8">
        <w:rPr>
          <w:rFonts w:asciiTheme="minorHAnsi" w:hAnsiTheme="minorHAnsi"/>
          <w:b w:val="0"/>
          <w:sz w:val="24"/>
          <w:szCs w:val="24"/>
        </w:rPr>
        <w:t>y erradicación de matrimonio y uniones tempranas en niñas y adolescentes?</w:t>
      </w:r>
      <w:r w:rsidR="00CB76D8" w:rsidRPr="00CB76D8">
        <w:rPr>
          <w:rFonts w:asciiTheme="minorHAnsi" w:hAnsiTheme="minorHAnsi"/>
          <w:b w:val="0"/>
          <w:sz w:val="24"/>
          <w:szCs w:val="24"/>
        </w:rPr>
        <w:t>.</w:t>
      </w:r>
    </w:p>
    <w:p w14:paraId="6E691449" w14:textId="1CDCF6F1" w:rsidR="00350126" w:rsidRPr="00CB76D8" w:rsidRDefault="00350126" w:rsidP="00BB5732">
      <w:pPr>
        <w:pStyle w:val="H23"/>
        <w:numPr>
          <w:ilvl w:val="0"/>
          <w:numId w:val="13"/>
        </w:numPr>
        <w:spacing w:line="276" w:lineRule="auto"/>
        <w:jc w:val="both"/>
        <w:rPr>
          <w:rFonts w:asciiTheme="minorHAnsi" w:hAnsiTheme="minorHAnsi" w:cs="Arial"/>
          <w:b w:val="0"/>
          <w:sz w:val="24"/>
          <w:szCs w:val="24"/>
        </w:rPr>
      </w:pPr>
      <w:r w:rsidRPr="00CB76D8">
        <w:rPr>
          <w:rFonts w:asciiTheme="minorHAnsi" w:hAnsiTheme="minorHAnsi" w:cs="Arial"/>
          <w:b w:val="0"/>
          <w:sz w:val="24"/>
          <w:szCs w:val="24"/>
        </w:rPr>
        <w:t xml:space="preserve">¿Cuándo tiene previsto el Estado </w:t>
      </w:r>
      <w:r w:rsidR="006454C3" w:rsidRPr="00CB76D8">
        <w:rPr>
          <w:rFonts w:asciiTheme="minorHAnsi" w:hAnsiTheme="minorHAnsi" w:cs="Arial"/>
          <w:b w:val="0"/>
          <w:sz w:val="24"/>
          <w:szCs w:val="24"/>
        </w:rPr>
        <w:t xml:space="preserve">dar cumplimiento a la </w:t>
      </w:r>
      <w:r w:rsidR="006454C3" w:rsidRPr="00CB76D8">
        <w:rPr>
          <w:rFonts w:asciiTheme="minorHAnsi" w:hAnsiTheme="minorHAnsi"/>
          <w:b w:val="0"/>
          <w:sz w:val="24"/>
          <w:szCs w:val="24"/>
        </w:rPr>
        <w:t>disposición transitoria quinta</w:t>
      </w:r>
      <w:r w:rsidR="006454C3" w:rsidRPr="00CB76D8">
        <w:rPr>
          <w:rFonts w:asciiTheme="minorHAnsi" w:hAnsiTheme="minorHAnsi" w:cs="Arial"/>
          <w:b w:val="0"/>
          <w:sz w:val="24"/>
          <w:szCs w:val="24"/>
        </w:rPr>
        <w:t xml:space="preserve"> del Código de las Familias de manera que se garantice el matr</w:t>
      </w:r>
      <w:r w:rsidRPr="00CB76D8">
        <w:rPr>
          <w:rFonts w:asciiTheme="minorHAnsi" w:hAnsiTheme="minorHAnsi" w:cs="Arial"/>
          <w:b w:val="0"/>
          <w:sz w:val="24"/>
          <w:szCs w:val="24"/>
        </w:rPr>
        <w:t xml:space="preserve">imonio civil igualitario </w:t>
      </w:r>
      <w:r w:rsidR="006454C3" w:rsidRPr="00CB76D8">
        <w:rPr>
          <w:rFonts w:asciiTheme="minorHAnsi" w:hAnsiTheme="minorHAnsi" w:cs="Arial"/>
          <w:b w:val="0"/>
          <w:sz w:val="24"/>
          <w:szCs w:val="24"/>
        </w:rPr>
        <w:t>y uniones libres de las parejas del mismo sexo</w:t>
      </w:r>
      <w:r w:rsidRPr="00CB76D8">
        <w:rPr>
          <w:rFonts w:asciiTheme="minorHAnsi" w:hAnsiTheme="minorHAnsi" w:cs="Arial"/>
          <w:b w:val="0"/>
          <w:sz w:val="24"/>
          <w:szCs w:val="24"/>
        </w:rPr>
        <w:t>?</w:t>
      </w:r>
      <w:r w:rsidR="00CB76D8" w:rsidRPr="00CB76D8">
        <w:rPr>
          <w:rFonts w:asciiTheme="minorHAnsi" w:hAnsiTheme="minorHAnsi" w:cs="Arial"/>
          <w:b w:val="0"/>
          <w:sz w:val="24"/>
          <w:szCs w:val="24"/>
        </w:rPr>
        <w:t>.</w:t>
      </w:r>
    </w:p>
    <w:sectPr w:rsidR="00350126" w:rsidRPr="00CB76D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1E47D" w14:textId="77777777" w:rsidR="00D8490C" w:rsidRDefault="00D8490C" w:rsidP="00086917">
      <w:pPr>
        <w:spacing w:after="0" w:line="240" w:lineRule="auto"/>
      </w:pPr>
      <w:r>
        <w:separator/>
      </w:r>
    </w:p>
  </w:endnote>
  <w:endnote w:type="continuationSeparator" w:id="0">
    <w:p w14:paraId="737351FD" w14:textId="77777777" w:rsidR="00D8490C" w:rsidRDefault="00D8490C" w:rsidP="0008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enaCondensed">
    <w:panose1 w:val="00000000000000000000"/>
    <w:charset w:val="00"/>
    <w:family w:val="swiss"/>
    <w:notTrueType/>
    <w:pitch w:val="default"/>
    <w:sig w:usb0="00000003" w:usb1="00000000" w:usb2="00000000" w:usb3="00000000" w:csb0="00000001" w:csb1="00000000"/>
  </w:font>
  <w:font w:name="TwCenM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55097"/>
      <w:docPartObj>
        <w:docPartGallery w:val="Page Numbers (Bottom of Page)"/>
        <w:docPartUnique/>
      </w:docPartObj>
    </w:sdtPr>
    <w:sdtEndPr/>
    <w:sdtContent>
      <w:p w14:paraId="1775FC66" w14:textId="6A98C106" w:rsidR="00A45E97" w:rsidRDefault="00A45E97">
        <w:pPr>
          <w:pStyle w:val="Piedepgina"/>
          <w:jc w:val="right"/>
        </w:pPr>
        <w:r>
          <w:fldChar w:fldCharType="begin"/>
        </w:r>
        <w:r>
          <w:instrText>PAGE   \* MERGEFORMAT</w:instrText>
        </w:r>
        <w:r>
          <w:fldChar w:fldCharType="separate"/>
        </w:r>
        <w:r w:rsidR="007F14E0" w:rsidRPr="007F14E0">
          <w:rPr>
            <w:noProof/>
            <w:lang w:val="es-ES"/>
          </w:rPr>
          <w:t>1</w:t>
        </w:r>
        <w:r>
          <w:fldChar w:fldCharType="end"/>
        </w:r>
      </w:p>
    </w:sdtContent>
  </w:sdt>
  <w:p w14:paraId="24608ED4" w14:textId="77777777" w:rsidR="00A45E97" w:rsidRDefault="00A45E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4A15" w14:textId="77777777" w:rsidR="00D8490C" w:rsidRDefault="00D8490C" w:rsidP="00086917">
      <w:pPr>
        <w:spacing w:after="0" w:line="240" w:lineRule="auto"/>
      </w:pPr>
      <w:r>
        <w:separator/>
      </w:r>
    </w:p>
  </w:footnote>
  <w:footnote w:type="continuationSeparator" w:id="0">
    <w:p w14:paraId="3F9C3219" w14:textId="77777777" w:rsidR="00D8490C" w:rsidRDefault="00D8490C" w:rsidP="00086917">
      <w:pPr>
        <w:spacing w:after="0" w:line="240" w:lineRule="auto"/>
      </w:pPr>
      <w:r>
        <w:continuationSeparator/>
      </w:r>
    </w:p>
  </w:footnote>
  <w:footnote w:id="1">
    <w:p w14:paraId="54B02FCC" w14:textId="50A39AF3" w:rsidR="00A45E97" w:rsidRPr="00D34B1A" w:rsidRDefault="00A45E97">
      <w:pPr>
        <w:pStyle w:val="Textonotapie"/>
      </w:pPr>
      <w:r>
        <w:rPr>
          <w:rStyle w:val="Refdenotaalpie"/>
        </w:rPr>
        <w:footnoteRef/>
      </w:r>
      <w:r>
        <w:t xml:space="preserve"> </w:t>
      </w:r>
      <w:r>
        <w:rPr>
          <w:lang w:val="es-BO"/>
        </w:rPr>
        <w:t xml:space="preserve">La desigualdad de género en un contexto de paridad. Coordinadora de la Mujer, IDEA Internacional </w:t>
      </w:r>
      <w:hyperlink r:id="rId1" w:history="1">
        <w:r w:rsidRPr="00D34B1A">
          <w:rPr>
            <w:rStyle w:val="Hipervnculo"/>
          </w:rPr>
          <w:t>http://www.protagonistas.cm.org.bo/index.php/investigacion/ver/id/4</w:t>
        </w:r>
      </w:hyperlink>
    </w:p>
  </w:footnote>
  <w:footnote w:id="2">
    <w:p w14:paraId="52E36FD3" w14:textId="047CEB03" w:rsidR="00353EBB" w:rsidRPr="00353EBB" w:rsidRDefault="00353EBB">
      <w:pPr>
        <w:pStyle w:val="Textonotapie"/>
        <w:rPr>
          <w:lang w:val="es-BO"/>
        </w:rPr>
      </w:pPr>
      <w:r>
        <w:rPr>
          <w:rStyle w:val="Refdenotaalpie"/>
        </w:rPr>
        <w:footnoteRef/>
      </w:r>
      <w:r>
        <w:t xml:space="preserve"> </w:t>
      </w:r>
      <w:r w:rsidRPr="00353EBB">
        <w:t>Consejo de la Magistratura, 2019</w:t>
      </w:r>
    </w:p>
  </w:footnote>
  <w:footnote w:id="3">
    <w:p w14:paraId="324AC715" w14:textId="52B3724C" w:rsidR="00BB5732" w:rsidRPr="00BB5732" w:rsidRDefault="00BB5732" w:rsidP="00BB5732">
      <w:pPr>
        <w:pStyle w:val="Textonotapie"/>
        <w:jc w:val="both"/>
        <w:rPr>
          <w:lang w:val="es-BO"/>
        </w:rPr>
      </w:pPr>
      <w:r w:rsidRPr="00353EBB">
        <w:rPr>
          <w:rStyle w:val="Refdenotaalpie"/>
        </w:rPr>
        <w:footnoteRef/>
      </w:r>
      <w:r w:rsidRPr="00353EBB">
        <w:t xml:space="preserve"> En los restantes 330 municipios son juzgados ordinarios los competentes para resolver estos casos, la Ley No. 1173 promulgada en mayo de 2019, indica que el Órgano Judicial debe adoptar un </w:t>
      </w:r>
      <w:r w:rsidRPr="00353EBB">
        <w:rPr>
          <w:rFonts w:cs="Arial"/>
          <w:color w:val="333333"/>
          <w:shd w:val="clear" w:color="auto" w:fill="FFFFFF"/>
        </w:rPr>
        <w:t>Plan de Reordenamiento de Juzgados y Tribunales a objeto de garantizar la especialidad requerida por la Ley N° 004, “Ley de Lucha contra la Corrupción, Enriquecimiento Ilícito e Investigación de Fortunas “Marcelo Quiroga Santa Cruz”, y la Ley N° 348, “Ley Integral Para Garantizar a las Mujeres una Vida Libre de Violencia”, de acuerdo a las posibilidades y carga procesal existente.</w:t>
      </w:r>
    </w:p>
  </w:footnote>
  <w:footnote w:id="4">
    <w:p w14:paraId="7D20CBC9" w14:textId="77777777" w:rsidR="000967CC" w:rsidRPr="003243B0" w:rsidRDefault="000967CC" w:rsidP="000967CC">
      <w:pPr>
        <w:pStyle w:val="Textonotapie"/>
        <w:rPr>
          <w:lang w:val="es-BO"/>
        </w:rPr>
      </w:pPr>
      <w:r>
        <w:rPr>
          <w:rStyle w:val="Refdenotaalpie"/>
        </w:rPr>
        <w:footnoteRef/>
      </w:r>
      <w:r>
        <w:t xml:space="preserve"> </w:t>
      </w:r>
      <w:r>
        <w:rPr>
          <w:lang w:val="es-BO"/>
        </w:rPr>
        <w:t>SEPDEP con base a datos del Censo Penitenciario. Documento interno.</w:t>
      </w:r>
    </w:p>
  </w:footnote>
  <w:footnote w:id="5">
    <w:p w14:paraId="6E36DB72" w14:textId="77777777" w:rsidR="000967CC" w:rsidRPr="009E3EB2" w:rsidRDefault="000967CC" w:rsidP="000967CC">
      <w:pPr>
        <w:pStyle w:val="Textonotapie"/>
        <w:rPr>
          <w:lang w:val="es-BO"/>
        </w:rPr>
      </w:pPr>
      <w:r>
        <w:rPr>
          <w:rStyle w:val="Refdenotaalpie"/>
        </w:rPr>
        <w:footnoteRef/>
      </w:r>
      <w:r>
        <w:t xml:space="preserve"> </w:t>
      </w:r>
      <w:r>
        <w:rPr>
          <w:lang w:val="es-BO"/>
        </w:rPr>
        <w:t xml:space="preserve">UNODC con base a datos de la Dirección General de Régimen Penitenciario a marzo 2020. </w:t>
      </w:r>
    </w:p>
  </w:footnote>
  <w:footnote w:id="6">
    <w:p w14:paraId="099A220A" w14:textId="403490CC" w:rsidR="009F5583" w:rsidRPr="009F5583" w:rsidRDefault="009F5583" w:rsidP="009F5583">
      <w:pPr>
        <w:pStyle w:val="Textonotapie"/>
        <w:rPr>
          <w:lang w:val="es-BO"/>
        </w:rPr>
      </w:pPr>
      <w:r w:rsidRPr="009F5583">
        <w:rPr>
          <w:rStyle w:val="Refdenotaalpie"/>
        </w:rPr>
        <w:footnoteRef/>
      </w:r>
      <w:r w:rsidRPr="009F5583">
        <w:t xml:space="preserve"> </w:t>
      </w:r>
      <w:r w:rsidRPr="009F5583">
        <w:rPr>
          <w:rFonts w:cs="Calibri"/>
          <w:color w:val="000000"/>
        </w:rPr>
        <w:t xml:space="preserve">Ley </w:t>
      </w:r>
      <w:r w:rsidRPr="009F5583">
        <w:t>Integral para garantizar a las mujeres una vida libre de violencia</w:t>
      </w:r>
      <w:r w:rsidRPr="009F5583">
        <w:rPr>
          <w:lang w:val="es-BO"/>
        </w:rPr>
        <w:t>.</w:t>
      </w:r>
    </w:p>
  </w:footnote>
  <w:footnote w:id="7">
    <w:p w14:paraId="770477CD" w14:textId="77777777" w:rsidR="009F5583" w:rsidRPr="009F5583" w:rsidRDefault="009F5583" w:rsidP="009F5583">
      <w:pPr>
        <w:autoSpaceDE w:val="0"/>
        <w:autoSpaceDN w:val="0"/>
        <w:adjustRightInd w:val="0"/>
        <w:spacing w:after="0"/>
        <w:jc w:val="both"/>
        <w:rPr>
          <w:rFonts w:cs="TwCenMT-Regular"/>
          <w:color w:val="241F1F"/>
          <w:sz w:val="20"/>
          <w:szCs w:val="20"/>
        </w:rPr>
      </w:pPr>
      <w:r w:rsidRPr="009F5583">
        <w:rPr>
          <w:rStyle w:val="Refdenotaalpie"/>
          <w:sz w:val="20"/>
          <w:szCs w:val="20"/>
        </w:rPr>
        <w:footnoteRef/>
      </w:r>
      <w:r w:rsidRPr="009F5583">
        <w:rPr>
          <w:sz w:val="20"/>
          <w:szCs w:val="20"/>
        </w:rPr>
        <w:t xml:space="preserve"> </w:t>
      </w:r>
      <w:r w:rsidRPr="009F5583">
        <w:rPr>
          <w:rFonts w:cs="TwCenMT-Regular"/>
          <w:color w:val="241F1F"/>
          <w:sz w:val="20"/>
          <w:szCs w:val="20"/>
        </w:rPr>
        <w:t>El 2007, en una encuesta realizada a activistas de derechos humanos y de derechos de las mujeres, el 77% respondió que las agresiones de fundamentalistas están dirigidas principalmente contra mujeres. La violencia del fundamentalismo se enmascara y es transversal a otras violencias, en el entendido de que el patriarcado y el machismo tienen una inscripción profunda en la sociedad y los actos de los agresores que se potencias por la incidencia de los fundamentalismos (Coordinadora de la Mujer, 2019).</w:t>
      </w:r>
    </w:p>
    <w:p w14:paraId="3C120A47" w14:textId="629346D4" w:rsidR="009F5583" w:rsidRPr="009F5583" w:rsidRDefault="009F5583">
      <w:pPr>
        <w:pStyle w:val="Textonotapie"/>
        <w:rPr>
          <w:lang w:val="es-BO"/>
        </w:rPr>
      </w:pPr>
    </w:p>
  </w:footnote>
  <w:footnote w:id="8">
    <w:p w14:paraId="73DC7749" w14:textId="77777777" w:rsidR="00A45E97" w:rsidRPr="00321325" w:rsidRDefault="00A45E97" w:rsidP="00321325">
      <w:pPr>
        <w:pStyle w:val="Textonotapie"/>
        <w:jc w:val="both"/>
        <w:rPr>
          <w:rFonts w:asciiTheme="minorHAnsi" w:hAnsiTheme="minorHAnsi" w:cstheme="minorHAnsi"/>
          <w:lang w:val="es-BO"/>
        </w:rPr>
      </w:pPr>
      <w:r w:rsidRPr="00321325">
        <w:rPr>
          <w:rStyle w:val="Refdenotaalpie"/>
          <w:rFonts w:asciiTheme="minorHAnsi" w:hAnsiTheme="minorHAnsi" w:cstheme="minorHAnsi"/>
        </w:rPr>
        <w:footnoteRef/>
      </w:r>
      <w:r w:rsidRPr="00321325">
        <w:rPr>
          <w:rFonts w:asciiTheme="minorHAnsi" w:hAnsiTheme="minorHAnsi" w:cstheme="minorHAnsi"/>
          <w:lang w:val="es-ES"/>
        </w:rPr>
        <w:t xml:space="preserve"> </w:t>
      </w:r>
      <w:r w:rsidRPr="00321325">
        <w:rPr>
          <w:rFonts w:asciiTheme="minorHAnsi" w:hAnsiTheme="minorHAnsi" w:cstheme="minorHAnsi"/>
          <w:color w:val="222222"/>
          <w:shd w:val="clear" w:color="auto" w:fill="FFFFFF"/>
          <w:lang w:val="es-ES"/>
        </w:rPr>
        <w:t>Las </w:t>
      </w:r>
      <w:r w:rsidRPr="00321325">
        <w:rPr>
          <w:rFonts w:asciiTheme="minorHAnsi" w:hAnsiTheme="minorHAnsi" w:cstheme="minorHAnsi"/>
          <w:bCs/>
          <w:color w:val="222222"/>
          <w:shd w:val="clear" w:color="auto" w:fill="FFFFFF"/>
          <w:lang w:val="es-ES"/>
        </w:rPr>
        <w:t>salidas alternativas</w:t>
      </w:r>
      <w:r w:rsidRPr="00321325">
        <w:rPr>
          <w:rFonts w:asciiTheme="minorHAnsi" w:hAnsiTheme="minorHAnsi" w:cstheme="minorHAnsi"/>
          <w:color w:val="222222"/>
          <w:shd w:val="clear" w:color="auto" w:fill="FFFFFF"/>
          <w:lang w:val="es-ES"/>
        </w:rPr>
        <w:t xml:space="preserve"> son soluciones al conflicto que anticipan el término del </w:t>
      </w:r>
      <w:r w:rsidRPr="00321325">
        <w:rPr>
          <w:rFonts w:asciiTheme="minorHAnsi" w:hAnsiTheme="minorHAnsi" w:cstheme="minorHAnsi"/>
          <w:bCs/>
          <w:color w:val="222222"/>
          <w:shd w:val="clear" w:color="auto" w:fill="FFFFFF"/>
          <w:lang w:val="es-ES"/>
        </w:rPr>
        <w:t>proceso</w:t>
      </w:r>
      <w:r w:rsidRPr="00321325">
        <w:rPr>
          <w:rFonts w:asciiTheme="minorHAnsi" w:hAnsiTheme="minorHAnsi" w:cstheme="minorHAnsi"/>
          <w:color w:val="222222"/>
          <w:shd w:val="clear" w:color="auto" w:fill="FFFFFF"/>
          <w:lang w:val="es-ES"/>
        </w:rPr>
        <w:t> y evitan que el caso llegue a juicio oral, siempre y cuando se cumpla con los requisitos establecidos para este tipo de casos.</w:t>
      </w:r>
    </w:p>
  </w:footnote>
  <w:footnote w:id="9">
    <w:p w14:paraId="6BD928B9" w14:textId="33C12F05" w:rsidR="00A45E97" w:rsidRPr="00B5721B" w:rsidRDefault="00A45E97" w:rsidP="00321325">
      <w:pPr>
        <w:pStyle w:val="Textonotapie"/>
        <w:jc w:val="both"/>
        <w:rPr>
          <w:lang w:val="es-BO"/>
        </w:rPr>
      </w:pPr>
      <w:r w:rsidRPr="00321325">
        <w:rPr>
          <w:rStyle w:val="Refdenotaalpie"/>
          <w:rFonts w:asciiTheme="minorHAnsi" w:hAnsiTheme="minorHAnsi" w:cstheme="minorHAnsi"/>
        </w:rPr>
        <w:footnoteRef/>
      </w:r>
      <w:r w:rsidRPr="00321325">
        <w:rPr>
          <w:rFonts w:asciiTheme="minorHAnsi" w:hAnsiTheme="minorHAnsi" w:cstheme="minorHAnsi"/>
          <w:lang w:val="es-ES"/>
        </w:rPr>
        <w:t xml:space="preserve"> Figura procesal prevista en el art. 21 del Código de Procedimiento Penal, m</w:t>
      </w:r>
      <w:r w:rsidRPr="00321325">
        <w:rPr>
          <w:rFonts w:asciiTheme="minorHAnsi" w:hAnsiTheme="minorHAnsi" w:cstheme="minorHAnsi"/>
          <w:lang w:val="es-BO"/>
        </w:rPr>
        <w:t>ediante</w:t>
      </w:r>
      <w:r w:rsidR="00CB76D8">
        <w:rPr>
          <w:rFonts w:asciiTheme="minorHAnsi" w:hAnsiTheme="minorHAnsi" w:cstheme="minorHAnsi"/>
          <w:lang w:val="es-BO"/>
        </w:rPr>
        <w:t>,</w:t>
      </w:r>
      <w:r w:rsidRPr="00321325">
        <w:rPr>
          <w:rFonts w:asciiTheme="minorHAnsi" w:hAnsiTheme="minorHAnsi" w:cstheme="minorHAnsi"/>
          <w:lang w:val="es-BO"/>
        </w:rPr>
        <w:t xml:space="preserve"> la cual la o el fiscal solicita al/la juez/a prescindir de la persecución penal. En el caso de violencia la causal que suele utilizarse es la de escasa relevancia social </w:t>
      </w:r>
      <w:r w:rsidRPr="00321325">
        <w:rPr>
          <w:rFonts w:asciiTheme="minorHAnsi" w:hAnsiTheme="minorHAnsi" w:cstheme="minorHAnsi"/>
        </w:rPr>
        <w:t>por la afectación mínima del bien jurídico protegido</w:t>
      </w:r>
      <w:r w:rsidRPr="00321325">
        <w:rPr>
          <w:rFonts w:asciiTheme="minorHAnsi" w:hAnsiTheme="minorHAnsi" w:cstheme="minorHAnsi"/>
          <w:lang w:val="es-BO"/>
        </w:rPr>
        <w:t>.</w:t>
      </w:r>
    </w:p>
  </w:footnote>
  <w:footnote w:id="10">
    <w:p w14:paraId="04FC2F21" w14:textId="3011659D" w:rsidR="00A45E97" w:rsidRPr="0044513D" w:rsidRDefault="00A45E97" w:rsidP="003E0001">
      <w:pPr>
        <w:pStyle w:val="Textonotapie"/>
        <w:rPr>
          <w:rFonts w:cs="Calibri"/>
        </w:rPr>
      </w:pPr>
      <w:r w:rsidRPr="009E6363">
        <w:rPr>
          <w:rStyle w:val="Refdenotaalpie"/>
          <w:rFonts w:cs="Calibri"/>
        </w:rPr>
        <w:footnoteRef/>
      </w:r>
      <w:r w:rsidRPr="009E6363">
        <w:rPr>
          <w:rFonts w:cs="Calibri"/>
          <w:lang w:val="es-BO"/>
        </w:rPr>
        <w:t>Boletín Informativo, Centro de Atención y Monitoreo de Acoso y Violencia Política, ACOBOL, noviembre de 2018</w:t>
      </w:r>
      <w:r w:rsidR="003E49F9">
        <w:rPr>
          <w:rFonts w:cs="Calibri"/>
          <w:lang w:val="es-BO"/>
        </w:rPr>
        <w:t>.</w:t>
      </w:r>
    </w:p>
  </w:footnote>
  <w:footnote w:id="11">
    <w:p w14:paraId="5735B393" w14:textId="14274D88" w:rsidR="00A45E97" w:rsidRPr="009537DE" w:rsidRDefault="00A45E97">
      <w:pPr>
        <w:pStyle w:val="Textonotapie"/>
        <w:rPr>
          <w:lang w:val="es-BO"/>
        </w:rPr>
      </w:pPr>
      <w:r>
        <w:rPr>
          <w:rStyle w:val="Refdenotaalpie"/>
        </w:rPr>
        <w:footnoteRef/>
      </w:r>
      <w:r>
        <w:t xml:space="preserve"> </w:t>
      </w:r>
      <w:r>
        <w:rPr>
          <w:lang w:val="es-BO"/>
        </w:rPr>
        <w:t>Bolivia 2019. Informe Final. Elecciones Generales, 20 de octubre de 2019. Misión de Expertos Electorales. Unión Europea.</w:t>
      </w:r>
    </w:p>
  </w:footnote>
  <w:footnote w:id="12">
    <w:p w14:paraId="07FEFC13" w14:textId="43F3F758" w:rsidR="00BB5732" w:rsidRPr="00531145" w:rsidRDefault="00BB5732" w:rsidP="00BB5732">
      <w:pPr>
        <w:pStyle w:val="Textonotapie"/>
        <w:rPr>
          <w:lang w:val="es-BO"/>
        </w:rPr>
      </w:pPr>
      <w:r w:rsidRPr="00531145">
        <w:rPr>
          <w:rStyle w:val="Refdenotaalpie"/>
        </w:rPr>
        <w:footnoteRef/>
      </w:r>
      <w:r w:rsidRPr="00531145">
        <w:t xml:space="preserve"> (Plan Nacional para la Salud Integral de la Adolescencia y Juventud 2009).</w:t>
      </w:r>
    </w:p>
  </w:footnote>
  <w:footnote w:id="13">
    <w:p w14:paraId="59A8CA72" w14:textId="77777777" w:rsidR="00A45E97" w:rsidRPr="009C0481" w:rsidRDefault="00A45E97" w:rsidP="00FC3333">
      <w:pPr>
        <w:pStyle w:val="Textonotapie"/>
        <w:jc w:val="both"/>
        <w:rPr>
          <w:rFonts w:cstheme="minorHAnsi"/>
          <w:color w:val="000000" w:themeColor="text1"/>
        </w:rPr>
      </w:pPr>
      <w:r w:rsidRPr="00531145">
        <w:rPr>
          <w:rStyle w:val="Refdenotaalpie"/>
          <w:rFonts w:cstheme="minorHAnsi"/>
          <w:color w:val="000000" w:themeColor="text1"/>
        </w:rPr>
        <w:footnoteRef/>
      </w:r>
      <w:r w:rsidRPr="00531145">
        <w:rPr>
          <w:rFonts w:cstheme="minorHAnsi"/>
          <w:color w:val="000000" w:themeColor="text1"/>
        </w:rPr>
        <w:t>https://www.minsalud.gob.bo/1967-validan-plan-estrategico-nacional-de-salud-sexual-y-reproductiva-2016-2020</w:t>
      </w:r>
    </w:p>
  </w:footnote>
  <w:footnote w:id="14">
    <w:p w14:paraId="3B6B5FDD" w14:textId="77777777" w:rsidR="00A45E97" w:rsidRPr="00347B34" w:rsidRDefault="00A45E97" w:rsidP="00FC3333">
      <w:pPr>
        <w:pStyle w:val="Textonotapie"/>
        <w:rPr>
          <w:lang w:val="es-ES"/>
        </w:rPr>
      </w:pPr>
      <w:r w:rsidRPr="00347B34">
        <w:rPr>
          <w:rStyle w:val="Refdenotaalpie"/>
        </w:rPr>
        <w:footnoteRef/>
      </w:r>
      <w:r w:rsidRPr="00347B34">
        <w:t xml:space="preserve"> </w:t>
      </w:r>
      <w:r w:rsidRPr="00347B34">
        <w:rPr>
          <w:lang w:val="es-ES"/>
        </w:rPr>
        <w:t>Sistema Nacional de Información en Salud – SNIS, 2016.</w:t>
      </w:r>
    </w:p>
  </w:footnote>
  <w:footnote w:id="15">
    <w:p w14:paraId="42A8483B" w14:textId="60CB0F63" w:rsidR="00B1326F" w:rsidRPr="00B1326F" w:rsidRDefault="00B1326F" w:rsidP="00B1326F">
      <w:pPr>
        <w:pStyle w:val="Textonotapie"/>
        <w:jc w:val="both"/>
        <w:rPr>
          <w:lang w:val="es-BO"/>
        </w:rPr>
      </w:pPr>
      <w:r>
        <w:rPr>
          <w:rStyle w:val="Refdenotaalpie"/>
        </w:rPr>
        <w:footnoteRef/>
      </w:r>
      <w:r>
        <w:t xml:space="preserve"> </w:t>
      </w:r>
      <w:r w:rsidRPr="00B1326F">
        <w:rPr>
          <w:rFonts w:cstheme="minorHAnsi"/>
        </w:rPr>
        <w:t>El Ministerio de Justicia (2016) realizó un diagnóstico en 21 municipios del país en el que se detectaron las siguientes limitaciones para el cumplimiento de la SCP 206/2014: el 68,19% de los encuestados no conocía la sentencia y el 44,8% no sabía cuáles eran los requisitos necesarios para acceder a la ILE,  falta de coordinación entre las instituciones y los servicios de salud; falta der material adecuado de consulta y limitaciones logísticas; alta rotación del personal o personal poco motivado; y, persistencia de prejuicios  en el personal de los servicios de salud y estigmatización social.</w:t>
      </w:r>
    </w:p>
  </w:footnote>
  <w:footnote w:id="16">
    <w:p w14:paraId="2C6182ED" w14:textId="73CAD3C4" w:rsidR="00BB5732" w:rsidRPr="00BB5732" w:rsidRDefault="00BB5732" w:rsidP="00BB5732">
      <w:pPr>
        <w:pStyle w:val="Textonotapie"/>
        <w:jc w:val="both"/>
        <w:rPr>
          <w:lang w:val="es-BO"/>
        </w:rPr>
      </w:pPr>
      <w:r w:rsidRPr="00BB5732">
        <w:rPr>
          <w:rStyle w:val="Refdenotaalpie"/>
        </w:rPr>
        <w:footnoteRef/>
      </w:r>
      <w:r w:rsidRPr="00BB5732">
        <w:t xml:space="preserve"> </w:t>
      </w:r>
      <w:r w:rsidRPr="00BB5732">
        <w:rPr>
          <w:rFonts w:cs="TwCenMT-Regular"/>
          <w:color w:val="241F1F"/>
        </w:rPr>
        <w:t>En promedio las mujeres dedican 4 veces más tiempo que los hombres en labores domésticas y de cuidado, además de 38 horas semanales de trabajo remunerado; mientras que los hombres dedican muchas menos horas al trabajo doméstico y 47 horas al trabajo remunerado (ONU Mujeres,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69C7"/>
    <w:multiLevelType w:val="hybridMultilevel"/>
    <w:tmpl w:val="AA18101A"/>
    <w:lvl w:ilvl="0" w:tplc="3582419A">
      <w:start w:val="1"/>
      <w:numFmt w:val="decimal"/>
      <w:lvlText w:val="%1."/>
      <w:lvlJc w:val="left"/>
      <w:pPr>
        <w:ind w:left="36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1AC06199"/>
    <w:multiLevelType w:val="hybridMultilevel"/>
    <w:tmpl w:val="CE8C7C4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F024678"/>
    <w:multiLevelType w:val="hybridMultilevel"/>
    <w:tmpl w:val="D56C38AA"/>
    <w:lvl w:ilvl="0" w:tplc="400A0009">
      <w:start w:val="1"/>
      <w:numFmt w:val="bullet"/>
      <w:lvlText w:val=""/>
      <w:lvlJc w:val="left"/>
      <w:pPr>
        <w:ind w:left="720" w:hanging="360"/>
      </w:pPr>
      <w:rPr>
        <w:rFonts w:ascii="Wingdings" w:hAnsi="Wingdings" w:hint="default"/>
      </w:rPr>
    </w:lvl>
    <w:lvl w:ilvl="1" w:tplc="2154D8EA">
      <w:numFmt w:val="bullet"/>
      <w:lvlText w:val="-"/>
      <w:lvlJc w:val="left"/>
      <w:pPr>
        <w:ind w:left="1440" w:hanging="360"/>
      </w:pPr>
      <w:rPr>
        <w:rFonts w:ascii="Calibri" w:eastAsiaTheme="minorHAnsi" w:hAnsi="Calibri"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26141955"/>
    <w:multiLevelType w:val="hybridMultilevel"/>
    <w:tmpl w:val="A0404298"/>
    <w:lvl w:ilvl="0" w:tplc="400A0009">
      <w:start w:val="1"/>
      <w:numFmt w:val="bullet"/>
      <w:lvlText w:val=""/>
      <w:lvlJc w:val="left"/>
      <w:pPr>
        <w:ind w:left="720" w:hanging="360"/>
      </w:pPr>
      <w:rPr>
        <w:rFonts w:ascii="Wingdings" w:hAnsi="Wingdings" w:hint="default"/>
      </w:rPr>
    </w:lvl>
    <w:lvl w:ilvl="1" w:tplc="3808F1B4">
      <w:numFmt w:val="bullet"/>
      <w:lvlText w:val="-"/>
      <w:lvlJc w:val="left"/>
      <w:pPr>
        <w:ind w:left="1440" w:hanging="360"/>
      </w:pPr>
      <w:rPr>
        <w:rFonts w:ascii="Calibri" w:eastAsiaTheme="minorHAnsi" w:hAnsi="Calibri" w:cstheme="minorBidi" w:hint="default"/>
        <w:color w:val="auto"/>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7471BD4"/>
    <w:multiLevelType w:val="hybridMultilevel"/>
    <w:tmpl w:val="8902A2E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2D7D4987"/>
    <w:multiLevelType w:val="hybridMultilevel"/>
    <w:tmpl w:val="081219D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ECD23B0"/>
    <w:multiLevelType w:val="hybridMultilevel"/>
    <w:tmpl w:val="A748154A"/>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36ED52A2"/>
    <w:multiLevelType w:val="hybridMultilevel"/>
    <w:tmpl w:val="3F9EFAB4"/>
    <w:lvl w:ilvl="0" w:tplc="400A0009">
      <w:start w:val="1"/>
      <w:numFmt w:val="bullet"/>
      <w:lvlText w:val=""/>
      <w:lvlJc w:val="left"/>
      <w:pPr>
        <w:ind w:left="720" w:hanging="360"/>
      </w:pPr>
      <w:rPr>
        <w:rFonts w:ascii="Wingdings" w:hAnsi="Wingdings" w:hint="default"/>
      </w:rPr>
    </w:lvl>
    <w:lvl w:ilvl="1" w:tplc="8EC0FD02">
      <w:numFmt w:val="bullet"/>
      <w:lvlText w:val="-"/>
      <w:lvlJc w:val="left"/>
      <w:pPr>
        <w:ind w:left="1440" w:hanging="360"/>
      </w:pPr>
      <w:rPr>
        <w:rFonts w:ascii="Calibri" w:eastAsiaTheme="minorHAnsi" w:hAnsi="Calibri"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465A3678"/>
    <w:multiLevelType w:val="hybridMultilevel"/>
    <w:tmpl w:val="BB92866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B912C91"/>
    <w:multiLevelType w:val="hybridMultilevel"/>
    <w:tmpl w:val="31AC16F2"/>
    <w:lvl w:ilvl="0" w:tplc="AD566EE0">
      <w:start w:val="1"/>
      <w:numFmt w:val="decimal"/>
      <w:lvlText w:val="%1."/>
      <w:lvlJc w:val="left"/>
      <w:pPr>
        <w:ind w:left="567" w:hanging="567"/>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8642D4"/>
    <w:multiLevelType w:val="hybridMultilevel"/>
    <w:tmpl w:val="1C58CD0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51D92FE7"/>
    <w:multiLevelType w:val="hybridMultilevel"/>
    <w:tmpl w:val="F68C19E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CDB7DE5"/>
    <w:multiLevelType w:val="hybridMultilevel"/>
    <w:tmpl w:val="EF7ABAF4"/>
    <w:lvl w:ilvl="0" w:tplc="400A0009">
      <w:start w:val="1"/>
      <w:numFmt w:val="bullet"/>
      <w:lvlText w:val=""/>
      <w:lvlJc w:val="left"/>
      <w:pPr>
        <w:ind w:left="360" w:hanging="360"/>
      </w:pPr>
      <w:rPr>
        <w:rFonts w:ascii="Wingdings" w:hAnsi="Wingdings"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E133B60"/>
    <w:multiLevelType w:val="hybridMultilevel"/>
    <w:tmpl w:val="AA18101A"/>
    <w:lvl w:ilvl="0" w:tplc="3582419A">
      <w:start w:val="1"/>
      <w:numFmt w:val="decimal"/>
      <w:lvlText w:val="%1."/>
      <w:lvlJc w:val="left"/>
      <w:pPr>
        <w:ind w:left="36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902EF7"/>
    <w:multiLevelType w:val="hybridMultilevel"/>
    <w:tmpl w:val="D8EA469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F8E615C"/>
    <w:multiLevelType w:val="hybridMultilevel"/>
    <w:tmpl w:val="B3044BA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768F213E"/>
    <w:multiLevelType w:val="hybridMultilevel"/>
    <w:tmpl w:val="1484843E"/>
    <w:lvl w:ilvl="0" w:tplc="400A000F">
      <w:start w:val="1"/>
      <w:numFmt w:val="decimal"/>
      <w:lvlText w:val="%1."/>
      <w:lvlJc w:val="left"/>
      <w:pPr>
        <w:ind w:left="644" w:hanging="360"/>
      </w:p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num w:numId="1">
    <w:abstractNumId w:val="7"/>
  </w:num>
  <w:num w:numId="2">
    <w:abstractNumId w:val="2"/>
  </w:num>
  <w:num w:numId="3">
    <w:abstractNumId w:val="14"/>
  </w:num>
  <w:num w:numId="4">
    <w:abstractNumId w:val="4"/>
  </w:num>
  <w:num w:numId="5">
    <w:abstractNumId w:val="8"/>
  </w:num>
  <w:num w:numId="6">
    <w:abstractNumId w:val="10"/>
  </w:num>
  <w:num w:numId="7">
    <w:abstractNumId w:val="5"/>
  </w:num>
  <w:num w:numId="8">
    <w:abstractNumId w:val="3"/>
  </w:num>
  <w:num w:numId="9">
    <w:abstractNumId w:val="13"/>
  </w:num>
  <w:num w:numId="10">
    <w:abstractNumId w:val="11"/>
  </w:num>
  <w:num w:numId="11">
    <w:abstractNumId w:val="15"/>
  </w:num>
  <w:num w:numId="12">
    <w:abstractNumId w:val="1"/>
  </w:num>
  <w:num w:numId="13">
    <w:abstractNumId w:val="6"/>
  </w:num>
  <w:num w:numId="14">
    <w:abstractNumId w:val="16"/>
  </w:num>
  <w:num w:numId="15">
    <w:abstractNumId w:val="9"/>
  </w:num>
  <w:num w:numId="16">
    <w:abstractNumId w:val="0"/>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D1"/>
    <w:rsid w:val="00000598"/>
    <w:rsid w:val="0000157A"/>
    <w:rsid w:val="00002632"/>
    <w:rsid w:val="00005666"/>
    <w:rsid w:val="000068D9"/>
    <w:rsid w:val="000069B4"/>
    <w:rsid w:val="00006F8F"/>
    <w:rsid w:val="0000753A"/>
    <w:rsid w:val="00007EA0"/>
    <w:rsid w:val="0001109C"/>
    <w:rsid w:val="00011FCF"/>
    <w:rsid w:val="000136DB"/>
    <w:rsid w:val="00013987"/>
    <w:rsid w:val="000145E5"/>
    <w:rsid w:val="00015102"/>
    <w:rsid w:val="0001646B"/>
    <w:rsid w:val="000164B6"/>
    <w:rsid w:val="00016DA4"/>
    <w:rsid w:val="0002064F"/>
    <w:rsid w:val="00020B45"/>
    <w:rsid w:val="00021103"/>
    <w:rsid w:val="0002111B"/>
    <w:rsid w:val="00021856"/>
    <w:rsid w:val="000228B2"/>
    <w:rsid w:val="000230BA"/>
    <w:rsid w:val="000239FB"/>
    <w:rsid w:val="00026158"/>
    <w:rsid w:val="000265A0"/>
    <w:rsid w:val="00026B17"/>
    <w:rsid w:val="00027A64"/>
    <w:rsid w:val="00030239"/>
    <w:rsid w:val="00030AF5"/>
    <w:rsid w:val="00031111"/>
    <w:rsid w:val="000333E9"/>
    <w:rsid w:val="00033DA1"/>
    <w:rsid w:val="00034D7F"/>
    <w:rsid w:val="00034DF6"/>
    <w:rsid w:val="00035169"/>
    <w:rsid w:val="0003613F"/>
    <w:rsid w:val="00036938"/>
    <w:rsid w:val="00036C58"/>
    <w:rsid w:val="0004091F"/>
    <w:rsid w:val="00041032"/>
    <w:rsid w:val="00041260"/>
    <w:rsid w:val="00041D8B"/>
    <w:rsid w:val="00043FB9"/>
    <w:rsid w:val="000443F4"/>
    <w:rsid w:val="000447D8"/>
    <w:rsid w:val="00051BC7"/>
    <w:rsid w:val="00051F78"/>
    <w:rsid w:val="00052313"/>
    <w:rsid w:val="00052E51"/>
    <w:rsid w:val="000548AD"/>
    <w:rsid w:val="00055624"/>
    <w:rsid w:val="00055D61"/>
    <w:rsid w:val="000601FC"/>
    <w:rsid w:val="000605DC"/>
    <w:rsid w:val="00061468"/>
    <w:rsid w:val="00061620"/>
    <w:rsid w:val="00063015"/>
    <w:rsid w:val="00063AA3"/>
    <w:rsid w:val="000653AB"/>
    <w:rsid w:val="000653FB"/>
    <w:rsid w:val="00066CE4"/>
    <w:rsid w:val="0006733D"/>
    <w:rsid w:val="00067D89"/>
    <w:rsid w:val="00070463"/>
    <w:rsid w:val="000708B3"/>
    <w:rsid w:val="00070A76"/>
    <w:rsid w:val="00071123"/>
    <w:rsid w:val="00071987"/>
    <w:rsid w:val="00071F7E"/>
    <w:rsid w:val="000724F9"/>
    <w:rsid w:val="00072521"/>
    <w:rsid w:val="00072B5A"/>
    <w:rsid w:val="00072B80"/>
    <w:rsid w:val="00073E73"/>
    <w:rsid w:val="00074140"/>
    <w:rsid w:val="00074420"/>
    <w:rsid w:val="00075BD7"/>
    <w:rsid w:val="00076145"/>
    <w:rsid w:val="00076E10"/>
    <w:rsid w:val="00077542"/>
    <w:rsid w:val="00077BB0"/>
    <w:rsid w:val="000805C1"/>
    <w:rsid w:val="00080882"/>
    <w:rsid w:val="0008150F"/>
    <w:rsid w:val="000821EB"/>
    <w:rsid w:val="000829E4"/>
    <w:rsid w:val="00085CDC"/>
    <w:rsid w:val="00086545"/>
    <w:rsid w:val="00086917"/>
    <w:rsid w:val="000873AD"/>
    <w:rsid w:val="0008742B"/>
    <w:rsid w:val="0008784E"/>
    <w:rsid w:val="00087A6A"/>
    <w:rsid w:val="00091970"/>
    <w:rsid w:val="0009215E"/>
    <w:rsid w:val="000934B0"/>
    <w:rsid w:val="00094635"/>
    <w:rsid w:val="000946B1"/>
    <w:rsid w:val="000946FF"/>
    <w:rsid w:val="00094851"/>
    <w:rsid w:val="00095370"/>
    <w:rsid w:val="0009648D"/>
    <w:rsid w:val="000967CC"/>
    <w:rsid w:val="000967FB"/>
    <w:rsid w:val="00096A7B"/>
    <w:rsid w:val="00097563"/>
    <w:rsid w:val="0009772D"/>
    <w:rsid w:val="000A114A"/>
    <w:rsid w:val="000A21A8"/>
    <w:rsid w:val="000A26B1"/>
    <w:rsid w:val="000A2E5B"/>
    <w:rsid w:val="000A39D1"/>
    <w:rsid w:val="000A57DF"/>
    <w:rsid w:val="000A580F"/>
    <w:rsid w:val="000A5C9D"/>
    <w:rsid w:val="000A5F2F"/>
    <w:rsid w:val="000A6DC4"/>
    <w:rsid w:val="000A7171"/>
    <w:rsid w:val="000B114A"/>
    <w:rsid w:val="000B1BD2"/>
    <w:rsid w:val="000B216A"/>
    <w:rsid w:val="000B5B47"/>
    <w:rsid w:val="000B6E33"/>
    <w:rsid w:val="000B7071"/>
    <w:rsid w:val="000C0841"/>
    <w:rsid w:val="000C1056"/>
    <w:rsid w:val="000C1426"/>
    <w:rsid w:val="000C3419"/>
    <w:rsid w:val="000C3A7C"/>
    <w:rsid w:val="000C3CDE"/>
    <w:rsid w:val="000C4134"/>
    <w:rsid w:val="000C47EE"/>
    <w:rsid w:val="000C4C55"/>
    <w:rsid w:val="000D0014"/>
    <w:rsid w:val="000D0DF0"/>
    <w:rsid w:val="000D1DA9"/>
    <w:rsid w:val="000D4025"/>
    <w:rsid w:val="000D402B"/>
    <w:rsid w:val="000D4BBC"/>
    <w:rsid w:val="000D594E"/>
    <w:rsid w:val="000D64FD"/>
    <w:rsid w:val="000D669F"/>
    <w:rsid w:val="000D6D9A"/>
    <w:rsid w:val="000E05D9"/>
    <w:rsid w:val="000E0682"/>
    <w:rsid w:val="000E0A6C"/>
    <w:rsid w:val="000E0BED"/>
    <w:rsid w:val="000E1138"/>
    <w:rsid w:val="000E251F"/>
    <w:rsid w:val="000E259B"/>
    <w:rsid w:val="000E3AA3"/>
    <w:rsid w:val="000E4FFB"/>
    <w:rsid w:val="000E5201"/>
    <w:rsid w:val="000E56A3"/>
    <w:rsid w:val="000E7C0C"/>
    <w:rsid w:val="000E7C60"/>
    <w:rsid w:val="000E7E34"/>
    <w:rsid w:val="000F0940"/>
    <w:rsid w:val="000F0A6A"/>
    <w:rsid w:val="000F0B55"/>
    <w:rsid w:val="000F26FE"/>
    <w:rsid w:val="000F2747"/>
    <w:rsid w:val="000F358A"/>
    <w:rsid w:val="000F3DEA"/>
    <w:rsid w:val="000F4085"/>
    <w:rsid w:val="000F4659"/>
    <w:rsid w:val="000F497B"/>
    <w:rsid w:val="000F5176"/>
    <w:rsid w:val="000F6116"/>
    <w:rsid w:val="000F6498"/>
    <w:rsid w:val="000F714A"/>
    <w:rsid w:val="000F7282"/>
    <w:rsid w:val="00101AC9"/>
    <w:rsid w:val="0010229D"/>
    <w:rsid w:val="00102D90"/>
    <w:rsid w:val="00103DF7"/>
    <w:rsid w:val="00104207"/>
    <w:rsid w:val="0010428A"/>
    <w:rsid w:val="0010508D"/>
    <w:rsid w:val="00105841"/>
    <w:rsid w:val="00106ECF"/>
    <w:rsid w:val="001077B3"/>
    <w:rsid w:val="00107F7C"/>
    <w:rsid w:val="001106DF"/>
    <w:rsid w:val="001125E2"/>
    <w:rsid w:val="00112B3C"/>
    <w:rsid w:val="0011417A"/>
    <w:rsid w:val="0011485B"/>
    <w:rsid w:val="0011665A"/>
    <w:rsid w:val="0011772D"/>
    <w:rsid w:val="0012035B"/>
    <w:rsid w:val="0012109B"/>
    <w:rsid w:val="001216B1"/>
    <w:rsid w:val="001217B1"/>
    <w:rsid w:val="00122271"/>
    <w:rsid w:val="00122557"/>
    <w:rsid w:val="0012272A"/>
    <w:rsid w:val="001242AF"/>
    <w:rsid w:val="00124B9A"/>
    <w:rsid w:val="00125323"/>
    <w:rsid w:val="001258A3"/>
    <w:rsid w:val="001264A9"/>
    <w:rsid w:val="00126AA6"/>
    <w:rsid w:val="00131C06"/>
    <w:rsid w:val="00133067"/>
    <w:rsid w:val="00133527"/>
    <w:rsid w:val="00133DB5"/>
    <w:rsid w:val="00134A96"/>
    <w:rsid w:val="00135A4F"/>
    <w:rsid w:val="00136B1A"/>
    <w:rsid w:val="0013770A"/>
    <w:rsid w:val="001378F4"/>
    <w:rsid w:val="001400A2"/>
    <w:rsid w:val="00141F60"/>
    <w:rsid w:val="00142A5B"/>
    <w:rsid w:val="0014474B"/>
    <w:rsid w:val="00145350"/>
    <w:rsid w:val="00150383"/>
    <w:rsid w:val="00151224"/>
    <w:rsid w:val="001512A7"/>
    <w:rsid w:val="00151CB6"/>
    <w:rsid w:val="00152813"/>
    <w:rsid w:val="00152A73"/>
    <w:rsid w:val="0015307E"/>
    <w:rsid w:val="00153242"/>
    <w:rsid w:val="00153273"/>
    <w:rsid w:val="001537F1"/>
    <w:rsid w:val="001542F7"/>
    <w:rsid w:val="00154D7A"/>
    <w:rsid w:val="0016015C"/>
    <w:rsid w:val="00160222"/>
    <w:rsid w:val="001609D5"/>
    <w:rsid w:val="00160D6C"/>
    <w:rsid w:val="001618D7"/>
    <w:rsid w:val="00161A13"/>
    <w:rsid w:val="00162DF9"/>
    <w:rsid w:val="001630F3"/>
    <w:rsid w:val="0016381F"/>
    <w:rsid w:val="00163A67"/>
    <w:rsid w:val="00164862"/>
    <w:rsid w:val="0016772C"/>
    <w:rsid w:val="00167A35"/>
    <w:rsid w:val="0017072C"/>
    <w:rsid w:val="00170868"/>
    <w:rsid w:val="001716F7"/>
    <w:rsid w:val="001726F2"/>
    <w:rsid w:val="00172B9D"/>
    <w:rsid w:val="00175755"/>
    <w:rsid w:val="00175782"/>
    <w:rsid w:val="00175CAF"/>
    <w:rsid w:val="00176173"/>
    <w:rsid w:val="00176796"/>
    <w:rsid w:val="0018186A"/>
    <w:rsid w:val="00181A43"/>
    <w:rsid w:val="00181BBB"/>
    <w:rsid w:val="00182259"/>
    <w:rsid w:val="001824FE"/>
    <w:rsid w:val="00182B72"/>
    <w:rsid w:val="00183C6B"/>
    <w:rsid w:val="00184188"/>
    <w:rsid w:val="00184A65"/>
    <w:rsid w:val="00185E05"/>
    <w:rsid w:val="001870F9"/>
    <w:rsid w:val="00187562"/>
    <w:rsid w:val="00187AEF"/>
    <w:rsid w:val="00190BA4"/>
    <w:rsid w:val="00191114"/>
    <w:rsid w:val="001917C8"/>
    <w:rsid w:val="00191B74"/>
    <w:rsid w:val="00193987"/>
    <w:rsid w:val="00193D79"/>
    <w:rsid w:val="001942E8"/>
    <w:rsid w:val="00194F13"/>
    <w:rsid w:val="00196581"/>
    <w:rsid w:val="00196B3C"/>
    <w:rsid w:val="001973B4"/>
    <w:rsid w:val="001A0297"/>
    <w:rsid w:val="001A06C0"/>
    <w:rsid w:val="001A0ACD"/>
    <w:rsid w:val="001A2FD4"/>
    <w:rsid w:val="001A43DE"/>
    <w:rsid w:val="001A7C27"/>
    <w:rsid w:val="001B138B"/>
    <w:rsid w:val="001B148D"/>
    <w:rsid w:val="001B2329"/>
    <w:rsid w:val="001B23BF"/>
    <w:rsid w:val="001B47D6"/>
    <w:rsid w:val="001B4891"/>
    <w:rsid w:val="001B5BA9"/>
    <w:rsid w:val="001B657A"/>
    <w:rsid w:val="001B6B39"/>
    <w:rsid w:val="001B6C7D"/>
    <w:rsid w:val="001B732D"/>
    <w:rsid w:val="001C0190"/>
    <w:rsid w:val="001C14E3"/>
    <w:rsid w:val="001C1C3C"/>
    <w:rsid w:val="001C759E"/>
    <w:rsid w:val="001D0167"/>
    <w:rsid w:val="001D0B2D"/>
    <w:rsid w:val="001D0F55"/>
    <w:rsid w:val="001D19D5"/>
    <w:rsid w:val="001D1AF7"/>
    <w:rsid w:val="001D4CD7"/>
    <w:rsid w:val="001D4E1F"/>
    <w:rsid w:val="001D58C7"/>
    <w:rsid w:val="001D6364"/>
    <w:rsid w:val="001E015D"/>
    <w:rsid w:val="001E0A39"/>
    <w:rsid w:val="001E196D"/>
    <w:rsid w:val="001E2AF0"/>
    <w:rsid w:val="001E3138"/>
    <w:rsid w:val="001E3A67"/>
    <w:rsid w:val="001E5E1A"/>
    <w:rsid w:val="001E6302"/>
    <w:rsid w:val="001E67CE"/>
    <w:rsid w:val="001E6FB7"/>
    <w:rsid w:val="001F1AD9"/>
    <w:rsid w:val="001F1BED"/>
    <w:rsid w:val="001F28BB"/>
    <w:rsid w:val="001F2BDB"/>
    <w:rsid w:val="001F3907"/>
    <w:rsid w:val="001F4266"/>
    <w:rsid w:val="001F6135"/>
    <w:rsid w:val="001F6AFA"/>
    <w:rsid w:val="001F6B9F"/>
    <w:rsid w:val="001F6D37"/>
    <w:rsid w:val="00201193"/>
    <w:rsid w:val="00201AA3"/>
    <w:rsid w:val="0020418E"/>
    <w:rsid w:val="0020570A"/>
    <w:rsid w:val="002075C7"/>
    <w:rsid w:val="00210D29"/>
    <w:rsid w:val="00211383"/>
    <w:rsid w:val="002122A3"/>
    <w:rsid w:val="00212384"/>
    <w:rsid w:val="002126E4"/>
    <w:rsid w:val="002132D0"/>
    <w:rsid w:val="002142A3"/>
    <w:rsid w:val="002149CF"/>
    <w:rsid w:val="0021516E"/>
    <w:rsid w:val="00215D72"/>
    <w:rsid w:val="00217B26"/>
    <w:rsid w:val="00222418"/>
    <w:rsid w:val="002228DE"/>
    <w:rsid w:val="00222FD1"/>
    <w:rsid w:val="00224228"/>
    <w:rsid w:val="002259CA"/>
    <w:rsid w:val="002277EE"/>
    <w:rsid w:val="00231527"/>
    <w:rsid w:val="002322FE"/>
    <w:rsid w:val="0023300E"/>
    <w:rsid w:val="00235283"/>
    <w:rsid w:val="002357FC"/>
    <w:rsid w:val="00236426"/>
    <w:rsid w:val="00237332"/>
    <w:rsid w:val="00237B31"/>
    <w:rsid w:val="0024057F"/>
    <w:rsid w:val="002432E2"/>
    <w:rsid w:val="00243796"/>
    <w:rsid w:val="00245500"/>
    <w:rsid w:val="00245BA4"/>
    <w:rsid w:val="00246E31"/>
    <w:rsid w:val="002479D2"/>
    <w:rsid w:val="0025081B"/>
    <w:rsid w:val="002546FC"/>
    <w:rsid w:val="00255598"/>
    <w:rsid w:val="00255672"/>
    <w:rsid w:val="00255DF7"/>
    <w:rsid w:val="00257150"/>
    <w:rsid w:val="00257C69"/>
    <w:rsid w:val="00260315"/>
    <w:rsid w:val="00261B16"/>
    <w:rsid w:val="002633C5"/>
    <w:rsid w:val="00265151"/>
    <w:rsid w:val="00265A2A"/>
    <w:rsid w:val="00265DAB"/>
    <w:rsid w:val="0026677F"/>
    <w:rsid w:val="002668B6"/>
    <w:rsid w:val="002669D6"/>
    <w:rsid w:val="00266BE0"/>
    <w:rsid w:val="0027003A"/>
    <w:rsid w:val="00270B6B"/>
    <w:rsid w:val="002711B7"/>
    <w:rsid w:val="0027327A"/>
    <w:rsid w:val="00274200"/>
    <w:rsid w:val="00274512"/>
    <w:rsid w:val="00276744"/>
    <w:rsid w:val="002778D4"/>
    <w:rsid w:val="00277C43"/>
    <w:rsid w:val="002801E0"/>
    <w:rsid w:val="0028067F"/>
    <w:rsid w:val="00283431"/>
    <w:rsid w:val="00283A93"/>
    <w:rsid w:val="00283D4D"/>
    <w:rsid w:val="00284A2E"/>
    <w:rsid w:val="00284B07"/>
    <w:rsid w:val="00291095"/>
    <w:rsid w:val="002926F1"/>
    <w:rsid w:val="00292915"/>
    <w:rsid w:val="00293107"/>
    <w:rsid w:val="002944C2"/>
    <w:rsid w:val="00294D9C"/>
    <w:rsid w:val="00296168"/>
    <w:rsid w:val="0029760D"/>
    <w:rsid w:val="002A0BE5"/>
    <w:rsid w:val="002A46F2"/>
    <w:rsid w:val="002A4964"/>
    <w:rsid w:val="002A4A10"/>
    <w:rsid w:val="002A556B"/>
    <w:rsid w:val="002A61F8"/>
    <w:rsid w:val="002A7E6B"/>
    <w:rsid w:val="002B0592"/>
    <w:rsid w:val="002B0A42"/>
    <w:rsid w:val="002B199B"/>
    <w:rsid w:val="002B1E61"/>
    <w:rsid w:val="002B4416"/>
    <w:rsid w:val="002B49EC"/>
    <w:rsid w:val="002B54DA"/>
    <w:rsid w:val="002B56B7"/>
    <w:rsid w:val="002B73A0"/>
    <w:rsid w:val="002B77C8"/>
    <w:rsid w:val="002C17ED"/>
    <w:rsid w:val="002C18B5"/>
    <w:rsid w:val="002C20E6"/>
    <w:rsid w:val="002C3B8C"/>
    <w:rsid w:val="002C6FC1"/>
    <w:rsid w:val="002C7393"/>
    <w:rsid w:val="002C7730"/>
    <w:rsid w:val="002C7C14"/>
    <w:rsid w:val="002D1A60"/>
    <w:rsid w:val="002D291E"/>
    <w:rsid w:val="002D35B5"/>
    <w:rsid w:val="002D41A9"/>
    <w:rsid w:val="002D57BB"/>
    <w:rsid w:val="002D71A6"/>
    <w:rsid w:val="002D7549"/>
    <w:rsid w:val="002D7598"/>
    <w:rsid w:val="002E1239"/>
    <w:rsid w:val="002E263A"/>
    <w:rsid w:val="002E2D62"/>
    <w:rsid w:val="002E3157"/>
    <w:rsid w:val="002E53FA"/>
    <w:rsid w:val="002E59F4"/>
    <w:rsid w:val="002F04D8"/>
    <w:rsid w:val="002F07CF"/>
    <w:rsid w:val="002F1159"/>
    <w:rsid w:val="002F1EAF"/>
    <w:rsid w:val="002F2CD1"/>
    <w:rsid w:val="002F37C0"/>
    <w:rsid w:val="002F37DD"/>
    <w:rsid w:val="002F406B"/>
    <w:rsid w:val="002F41C2"/>
    <w:rsid w:val="002F443D"/>
    <w:rsid w:val="002F628E"/>
    <w:rsid w:val="002F67D3"/>
    <w:rsid w:val="002F6CED"/>
    <w:rsid w:val="002F7510"/>
    <w:rsid w:val="003016EC"/>
    <w:rsid w:val="00301D55"/>
    <w:rsid w:val="003031C6"/>
    <w:rsid w:val="0030333B"/>
    <w:rsid w:val="0030436D"/>
    <w:rsid w:val="003067FD"/>
    <w:rsid w:val="00307E3F"/>
    <w:rsid w:val="003109E4"/>
    <w:rsid w:val="00311165"/>
    <w:rsid w:val="003112A3"/>
    <w:rsid w:val="00311502"/>
    <w:rsid w:val="003127D3"/>
    <w:rsid w:val="00313939"/>
    <w:rsid w:val="00314D70"/>
    <w:rsid w:val="003154F2"/>
    <w:rsid w:val="003158AD"/>
    <w:rsid w:val="003165DF"/>
    <w:rsid w:val="003166BB"/>
    <w:rsid w:val="00316C03"/>
    <w:rsid w:val="00320470"/>
    <w:rsid w:val="003204BD"/>
    <w:rsid w:val="00321325"/>
    <w:rsid w:val="00322C20"/>
    <w:rsid w:val="00323A0E"/>
    <w:rsid w:val="003249A6"/>
    <w:rsid w:val="003258AD"/>
    <w:rsid w:val="00325DB0"/>
    <w:rsid w:val="0032612D"/>
    <w:rsid w:val="00327268"/>
    <w:rsid w:val="003272DC"/>
    <w:rsid w:val="00331419"/>
    <w:rsid w:val="00333239"/>
    <w:rsid w:val="00333479"/>
    <w:rsid w:val="0033439D"/>
    <w:rsid w:val="0033505B"/>
    <w:rsid w:val="00335ADC"/>
    <w:rsid w:val="00335BE5"/>
    <w:rsid w:val="00335D5D"/>
    <w:rsid w:val="00336890"/>
    <w:rsid w:val="00336D31"/>
    <w:rsid w:val="003402BF"/>
    <w:rsid w:val="003402C3"/>
    <w:rsid w:val="00340A45"/>
    <w:rsid w:val="003416FA"/>
    <w:rsid w:val="003417B6"/>
    <w:rsid w:val="00342D01"/>
    <w:rsid w:val="00342F48"/>
    <w:rsid w:val="003431DC"/>
    <w:rsid w:val="00343FF5"/>
    <w:rsid w:val="00344017"/>
    <w:rsid w:val="00344050"/>
    <w:rsid w:val="0034431E"/>
    <w:rsid w:val="00344C34"/>
    <w:rsid w:val="00346D89"/>
    <w:rsid w:val="00347A61"/>
    <w:rsid w:val="00350126"/>
    <w:rsid w:val="00351196"/>
    <w:rsid w:val="003521CD"/>
    <w:rsid w:val="00352236"/>
    <w:rsid w:val="00352379"/>
    <w:rsid w:val="003525C1"/>
    <w:rsid w:val="00353EBB"/>
    <w:rsid w:val="00355C16"/>
    <w:rsid w:val="00360F57"/>
    <w:rsid w:val="00363378"/>
    <w:rsid w:val="00364E23"/>
    <w:rsid w:val="00364F7E"/>
    <w:rsid w:val="0036583B"/>
    <w:rsid w:val="00365919"/>
    <w:rsid w:val="00366165"/>
    <w:rsid w:val="003663DB"/>
    <w:rsid w:val="0036649C"/>
    <w:rsid w:val="00370A53"/>
    <w:rsid w:val="00370A5C"/>
    <w:rsid w:val="00371979"/>
    <w:rsid w:val="0037211A"/>
    <w:rsid w:val="003732CD"/>
    <w:rsid w:val="00374FEB"/>
    <w:rsid w:val="003773ED"/>
    <w:rsid w:val="00377DAE"/>
    <w:rsid w:val="0038037D"/>
    <w:rsid w:val="003803C4"/>
    <w:rsid w:val="0038214C"/>
    <w:rsid w:val="00382A99"/>
    <w:rsid w:val="00382AF6"/>
    <w:rsid w:val="003843A4"/>
    <w:rsid w:val="003845D6"/>
    <w:rsid w:val="003847FB"/>
    <w:rsid w:val="003849D4"/>
    <w:rsid w:val="00385B11"/>
    <w:rsid w:val="00386B82"/>
    <w:rsid w:val="0039006B"/>
    <w:rsid w:val="00390505"/>
    <w:rsid w:val="00390689"/>
    <w:rsid w:val="00390F9B"/>
    <w:rsid w:val="0039144A"/>
    <w:rsid w:val="003915C4"/>
    <w:rsid w:val="003936AA"/>
    <w:rsid w:val="00394AEC"/>
    <w:rsid w:val="003950C0"/>
    <w:rsid w:val="00395495"/>
    <w:rsid w:val="00395B1B"/>
    <w:rsid w:val="00395D27"/>
    <w:rsid w:val="00395D77"/>
    <w:rsid w:val="00396480"/>
    <w:rsid w:val="00396E0F"/>
    <w:rsid w:val="00397616"/>
    <w:rsid w:val="003A2C2B"/>
    <w:rsid w:val="003A3382"/>
    <w:rsid w:val="003A4BB4"/>
    <w:rsid w:val="003A5E43"/>
    <w:rsid w:val="003A7C2C"/>
    <w:rsid w:val="003A7FB2"/>
    <w:rsid w:val="003B0FD6"/>
    <w:rsid w:val="003B1257"/>
    <w:rsid w:val="003B29D1"/>
    <w:rsid w:val="003B3344"/>
    <w:rsid w:val="003B7F39"/>
    <w:rsid w:val="003C0632"/>
    <w:rsid w:val="003C0DCD"/>
    <w:rsid w:val="003C1055"/>
    <w:rsid w:val="003C1859"/>
    <w:rsid w:val="003C2686"/>
    <w:rsid w:val="003C26B9"/>
    <w:rsid w:val="003C2C4E"/>
    <w:rsid w:val="003C3258"/>
    <w:rsid w:val="003C40A1"/>
    <w:rsid w:val="003C47B6"/>
    <w:rsid w:val="003C6078"/>
    <w:rsid w:val="003C6103"/>
    <w:rsid w:val="003C68B1"/>
    <w:rsid w:val="003C719E"/>
    <w:rsid w:val="003C735C"/>
    <w:rsid w:val="003D0340"/>
    <w:rsid w:val="003D159F"/>
    <w:rsid w:val="003D2138"/>
    <w:rsid w:val="003D28CA"/>
    <w:rsid w:val="003D31D8"/>
    <w:rsid w:val="003D362B"/>
    <w:rsid w:val="003D4035"/>
    <w:rsid w:val="003D44A2"/>
    <w:rsid w:val="003D5AC3"/>
    <w:rsid w:val="003D65AF"/>
    <w:rsid w:val="003D710B"/>
    <w:rsid w:val="003D7B4F"/>
    <w:rsid w:val="003D7E41"/>
    <w:rsid w:val="003E0001"/>
    <w:rsid w:val="003E0B79"/>
    <w:rsid w:val="003E11D6"/>
    <w:rsid w:val="003E2995"/>
    <w:rsid w:val="003E4067"/>
    <w:rsid w:val="003E49F9"/>
    <w:rsid w:val="003E7EFD"/>
    <w:rsid w:val="003F12BB"/>
    <w:rsid w:val="003F366C"/>
    <w:rsid w:val="003F36FC"/>
    <w:rsid w:val="003F4566"/>
    <w:rsid w:val="003F4984"/>
    <w:rsid w:val="0040000B"/>
    <w:rsid w:val="00400446"/>
    <w:rsid w:val="00403244"/>
    <w:rsid w:val="00404375"/>
    <w:rsid w:val="00404BD0"/>
    <w:rsid w:val="00407573"/>
    <w:rsid w:val="00407C43"/>
    <w:rsid w:val="0041144F"/>
    <w:rsid w:val="00412780"/>
    <w:rsid w:val="00412950"/>
    <w:rsid w:val="00412A43"/>
    <w:rsid w:val="0041487D"/>
    <w:rsid w:val="00415E5D"/>
    <w:rsid w:val="004163A6"/>
    <w:rsid w:val="00416ACB"/>
    <w:rsid w:val="0041714E"/>
    <w:rsid w:val="00417EB4"/>
    <w:rsid w:val="00423431"/>
    <w:rsid w:val="00423BA2"/>
    <w:rsid w:val="00423F6E"/>
    <w:rsid w:val="004241AC"/>
    <w:rsid w:val="004249F3"/>
    <w:rsid w:val="0042574E"/>
    <w:rsid w:val="004260D0"/>
    <w:rsid w:val="0042754F"/>
    <w:rsid w:val="00430C6E"/>
    <w:rsid w:val="00432140"/>
    <w:rsid w:val="00432482"/>
    <w:rsid w:val="00432868"/>
    <w:rsid w:val="00432E6E"/>
    <w:rsid w:val="00432F29"/>
    <w:rsid w:val="00434EF1"/>
    <w:rsid w:val="00434F7D"/>
    <w:rsid w:val="00435194"/>
    <w:rsid w:val="00435F3A"/>
    <w:rsid w:val="0043633D"/>
    <w:rsid w:val="004375E8"/>
    <w:rsid w:val="00437DA3"/>
    <w:rsid w:val="00437ED3"/>
    <w:rsid w:val="00440109"/>
    <w:rsid w:val="0044140C"/>
    <w:rsid w:val="004428B0"/>
    <w:rsid w:val="00442FA3"/>
    <w:rsid w:val="00444021"/>
    <w:rsid w:val="00444532"/>
    <w:rsid w:val="0044461A"/>
    <w:rsid w:val="00444B2E"/>
    <w:rsid w:val="00447DD2"/>
    <w:rsid w:val="0045053B"/>
    <w:rsid w:val="00450DEC"/>
    <w:rsid w:val="004511A0"/>
    <w:rsid w:val="004522AE"/>
    <w:rsid w:val="00452B01"/>
    <w:rsid w:val="00453804"/>
    <w:rsid w:val="00453A6F"/>
    <w:rsid w:val="004553A5"/>
    <w:rsid w:val="00456F6A"/>
    <w:rsid w:val="004570B5"/>
    <w:rsid w:val="0045784F"/>
    <w:rsid w:val="004612FB"/>
    <w:rsid w:val="00462070"/>
    <w:rsid w:val="00463A23"/>
    <w:rsid w:val="0046428B"/>
    <w:rsid w:val="00464BB9"/>
    <w:rsid w:val="00465FD2"/>
    <w:rsid w:val="00466C77"/>
    <w:rsid w:val="00466E14"/>
    <w:rsid w:val="0047017C"/>
    <w:rsid w:val="00470C8C"/>
    <w:rsid w:val="004730A1"/>
    <w:rsid w:val="0047316F"/>
    <w:rsid w:val="00473B80"/>
    <w:rsid w:val="0047420F"/>
    <w:rsid w:val="00474820"/>
    <w:rsid w:val="004760BC"/>
    <w:rsid w:val="004761E3"/>
    <w:rsid w:val="00477199"/>
    <w:rsid w:val="00481C74"/>
    <w:rsid w:val="00482625"/>
    <w:rsid w:val="00483859"/>
    <w:rsid w:val="00484209"/>
    <w:rsid w:val="00484481"/>
    <w:rsid w:val="004848C0"/>
    <w:rsid w:val="004850EC"/>
    <w:rsid w:val="004870FB"/>
    <w:rsid w:val="004872E2"/>
    <w:rsid w:val="004875EC"/>
    <w:rsid w:val="00487E83"/>
    <w:rsid w:val="00490F03"/>
    <w:rsid w:val="004913A2"/>
    <w:rsid w:val="004920EE"/>
    <w:rsid w:val="00494333"/>
    <w:rsid w:val="004944C4"/>
    <w:rsid w:val="0049573D"/>
    <w:rsid w:val="00495FC0"/>
    <w:rsid w:val="004963C0"/>
    <w:rsid w:val="004A0500"/>
    <w:rsid w:val="004A18E5"/>
    <w:rsid w:val="004A1C8D"/>
    <w:rsid w:val="004A22B9"/>
    <w:rsid w:val="004A275E"/>
    <w:rsid w:val="004A28FA"/>
    <w:rsid w:val="004A3D0B"/>
    <w:rsid w:val="004A4D36"/>
    <w:rsid w:val="004A5591"/>
    <w:rsid w:val="004A7305"/>
    <w:rsid w:val="004A79CC"/>
    <w:rsid w:val="004A7A04"/>
    <w:rsid w:val="004B0375"/>
    <w:rsid w:val="004B085C"/>
    <w:rsid w:val="004B4F98"/>
    <w:rsid w:val="004B50EE"/>
    <w:rsid w:val="004B54FE"/>
    <w:rsid w:val="004B6988"/>
    <w:rsid w:val="004B724A"/>
    <w:rsid w:val="004C1873"/>
    <w:rsid w:val="004C1B42"/>
    <w:rsid w:val="004C2B48"/>
    <w:rsid w:val="004C3384"/>
    <w:rsid w:val="004C41C5"/>
    <w:rsid w:val="004C4A02"/>
    <w:rsid w:val="004C604F"/>
    <w:rsid w:val="004C7173"/>
    <w:rsid w:val="004D024E"/>
    <w:rsid w:val="004D0D7A"/>
    <w:rsid w:val="004D1F36"/>
    <w:rsid w:val="004D24DD"/>
    <w:rsid w:val="004D3D3F"/>
    <w:rsid w:val="004D42CE"/>
    <w:rsid w:val="004D42E4"/>
    <w:rsid w:val="004D4511"/>
    <w:rsid w:val="004D4F5F"/>
    <w:rsid w:val="004D55FD"/>
    <w:rsid w:val="004D56F7"/>
    <w:rsid w:val="004D5C07"/>
    <w:rsid w:val="004D7087"/>
    <w:rsid w:val="004D7157"/>
    <w:rsid w:val="004E0A42"/>
    <w:rsid w:val="004E0AEC"/>
    <w:rsid w:val="004E179A"/>
    <w:rsid w:val="004E211F"/>
    <w:rsid w:val="004E382E"/>
    <w:rsid w:val="004E3D30"/>
    <w:rsid w:val="004E498E"/>
    <w:rsid w:val="004E4EB5"/>
    <w:rsid w:val="004E5C8E"/>
    <w:rsid w:val="004E5E8A"/>
    <w:rsid w:val="004E6268"/>
    <w:rsid w:val="004E69D9"/>
    <w:rsid w:val="004E750C"/>
    <w:rsid w:val="004E7896"/>
    <w:rsid w:val="004F0AAF"/>
    <w:rsid w:val="004F0F45"/>
    <w:rsid w:val="004F1E09"/>
    <w:rsid w:val="004F245A"/>
    <w:rsid w:val="004F3493"/>
    <w:rsid w:val="004F3A00"/>
    <w:rsid w:val="004F3EAA"/>
    <w:rsid w:val="004F4643"/>
    <w:rsid w:val="004F49A5"/>
    <w:rsid w:val="004F51DC"/>
    <w:rsid w:val="004F6B63"/>
    <w:rsid w:val="004F76D0"/>
    <w:rsid w:val="004F7799"/>
    <w:rsid w:val="0050046F"/>
    <w:rsid w:val="00500CAA"/>
    <w:rsid w:val="005010CB"/>
    <w:rsid w:val="00501325"/>
    <w:rsid w:val="00501E0C"/>
    <w:rsid w:val="0050291A"/>
    <w:rsid w:val="00503AA8"/>
    <w:rsid w:val="00504024"/>
    <w:rsid w:val="005045EE"/>
    <w:rsid w:val="00505934"/>
    <w:rsid w:val="005059CC"/>
    <w:rsid w:val="00505F30"/>
    <w:rsid w:val="00506E00"/>
    <w:rsid w:val="00507E99"/>
    <w:rsid w:val="00507F60"/>
    <w:rsid w:val="0051010A"/>
    <w:rsid w:val="00510808"/>
    <w:rsid w:val="005109D7"/>
    <w:rsid w:val="0051390B"/>
    <w:rsid w:val="005143F5"/>
    <w:rsid w:val="00514B44"/>
    <w:rsid w:val="00516DE9"/>
    <w:rsid w:val="005170F6"/>
    <w:rsid w:val="0051756D"/>
    <w:rsid w:val="00517635"/>
    <w:rsid w:val="00520248"/>
    <w:rsid w:val="0052026D"/>
    <w:rsid w:val="00520A38"/>
    <w:rsid w:val="00521272"/>
    <w:rsid w:val="00521C04"/>
    <w:rsid w:val="00521F0C"/>
    <w:rsid w:val="00521FED"/>
    <w:rsid w:val="00522F93"/>
    <w:rsid w:val="00523138"/>
    <w:rsid w:val="00524AB6"/>
    <w:rsid w:val="00526EE7"/>
    <w:rsid w:val="0052702F"/>
    <w:rsid w:val="00527608"/>
    <w:rsid w:val="005279E4"/>
    <w:rsid w:val="005306F2"/>
    <w:rsid w:val="0053088C"/>
    <w:rsid w:val="00531145"/>
    <w:rsid w:val="00531627"/>
    <w:rsid w:val="00532950"/>
    <w:rsid w:val="00533D2E"/>
    <w:rsid w:val="00534F0A"/>
    <w:rsid w:val="00535003"/>
    <w:rsid w:val="00536589"/>
    <w:rsid w:val="00536638"/>
    <w:rsid w:val="005368CC"/>
    <w:rsid w:val="00536983"/>
    <w:rsid w:val="005409D3"/>
    <w:rsid w:val="00540E1C"/>
    <w:rsid w:val="0054178F"/>
    <w:rsid w:val="00542542"/>
    <w:rsid w:val="005442B2"/>
    <w:rsid w:val="005443D3"/>
    <w:rsid w:val="00544785"/>
    <w:rsid w:val="00544F38"/>
    <w:rsid w:val="00544FF6"/>
    <w:rsid w:val="00545625"/>
    <w:rsid w:val="00545E68"/>
    <w:rsid w:val="00545FF1"/>
    <w:rsid w:val="00551417"/>
    <w:rsid w:val="005531E9"/>
    <w:rsid w:val="00554B2D"/>
    <w:rsid w:val="005558CA"/>
    <w:rsid w:val="00555EF0"/>
    <w:rsid w:val="005565C8"/>
    <w:rsid w:val="005568D2"/>
    <w:rsid w:val="0056237E"/>
    <w:rsid w:val="00563C01"/>
    <w:rsid w:val="00563D42"/>
    <w:rsid w:val="00564016"/>
    <w:rsid w:val="0056499E"/>
    <w:rsid w:val="00564A38"/>
    <w:rsid w:val="00565603"/>
    <w:rsid w:val="0056691F"/>
    <w:rsid w:val="00566EFC"/>
    <w:rsid w:val="005676D3"/>
    <w:rsid w:val="005702AE"/>
    <w:rsid w:val="00573EFA"/>
    <w:rsid w:val="00576275"/>
    <w:rsid w:val="005763A4"/>
    <w:rsid w:val="00576BF2"/>
    <w:rsid w:val="005770B2"/>
    <w:rsid w:val="00580575"/>
    <w:rsid w:val="005810E4"/>
    <w:rsid w:val="00581394"/>
    <w:rsid w:val="005815EC"/>
    <w:rsid w:val="0058166A"/>
    <w:rsid w:val="00583366"/>
    <w:rsid w:val="00583B9D"/>
    <w:rsid w:val="00583D1E"/>
    <w:rsid w:val="00584449"/>
    <w:rsid w:val="00585A98"/>
    <w:rsid w:val="00585FE4"/>
    <w:rsid w:val="00586145"/>
    <w:rsid w:val="005863E3"/>
    <w:rsid w:val="0058745D"/>
    <w:rsid w:val="00591BDF"/>
    <w:rsid w:val="00592B28"/>
    <w:rsid w:val="005930F9"/>
    <w:rsid w:val="00593FA3"/>
    <w:rsid w:val="00594433"/>
    <w:rsid w:val="0059493D"/>
    <w:rsid w:val="00595168"/>
    <w:rsid w:val="00597F98"/>
    <w:rsid w:val="005A0AFA"/>
    <w:rsid w:val="005A119A"/>
    <w:rsid w:val="005A23CD"/>
    <w:rsid w:val="005A4317"/>
    <w:rsid w:val="005A4D53"/>
    <w:rsid w:val="005A502B"/>
    <w:rsid w:val="005A50F0"/>
    <w:rsid w:val="005A6CBE"/>
    <w:rsid w:val="005A6CD2"/>
    <w:rsid w:val="005A7055"/>
    <w:rsid w:val="005B10DB"/>
    <w:rsid w:val="005B25B0"/>
    <w:rsid w:val="005B2FBC"/>
    <w:rsid w:val="005B3533"/>
    <w:rsid w:val="005B36BE"/>
    <w:rsid w:val="005B4E9D"/>
    <w:rsid w:val="005B5474"/>
    <w:rsid w:val="005B5724"/>
    <w:rsid w:val="005B59EA"/>
    <w:rsid w:val="005B62A6"/>
    <w:rsid w:val="005B725A"/>
    <w:rsid w:val="005B7A21"/>
    <w:rsid w:val="005B7CCF"/>
    <w:rsid w:val="005C4699"/>
    <w:rsid w:val="005C50E6"/>
    <w:rsid w:val="005C538F"/>
    <w:rsid w:val="005C597B"/>
    <w:rsid w:val="005D0B12"/>
    <w:rsid w:val="005D0EA4"/>
    <w:rsid w:val="005D1C32"/>
    <w:rsid w:val="005D344B"/>
    <w:rsid w:val="005D7B82"/>
    <w:rsid w:val="005E181A"/>
    <w:rsid w:val="005E1CEC"/>
    <w:rsid w:val="005E2E8B"/>
    <w:rsid w:val="005E3B98"/>
    <w:rsid w:val="005E45A0"/>
    <w:rsid w:val="005E5AD0"/>
    <w:rsid w:val="005E6B17"/>
    <w:rsid w:val="005E6B52"/>
    <w:rsid w:val="005E6CBB"/>
    <w:rsid w:val="005F0E84"/>
    <w:rsid w:val="005F1245"/>
    <w:rsid w:val="005F18BF"/>
    <w:rsid w:val="005F1C5B"/>
    <w:rsid w:val="005F2DCC"/>
    <w:rsid w:val="005F31E1"/>
    <w:rsid w:val="005F3807"/>
    <w:rsid w:val="005F4373"/>
    <w:rsid w:val="005F43B5"/>
    <w:rsid w:val="005F45F1"/>
    <w:rsid w:val="005F5759"/>
    <w:rsid w:val="005F65B2"/>
    <w:rsid w:val="006033BC"/>
    <w:rsid w:val="00604C71"/>
    <w:rsid w:val="0060512F"/>
    <w:rsid w:val="00605488"/>
    <w:rsid w:val="00605CAB"/>
    <w:rsid w:val="00605EF1"/>
    <w:rsid w:val="00605F0B"/>
    <w:rsid w:val="0060689B"/>
    <w:rsid w:val="0060712B"/>
    <w:rsid w:val="00607470"/>
    <w:rsid w:val="006077B4"/>
    <w:rsid w:val="0061015A"/>
    <w:rsid w:val="006113FB"/>
    <w:rsid w:val="00611EC9"/>
    <w:rsid w:val="00612231"/>
    <w:rsid w:val="00615FB4"/>
    <w:rsid w:val="0061736F"/>
    <w:rsid w:val="006207BB"/>
    <w:rsid w:val="006212CD"/>
    <w:rsid w:val="006215D5"/>
    <w:rsid w:val="006217D2"/>
    <w:rsid w:val="00623B7E"/>
    <w:rsid w:val="00624928"/>
    <w:rsid w:val="00625DD1"/>
    <w:rsid w:val="006264EE"/>
    <w:rsid w:val="00626542"/>
    <w:rsid w:val="006276FB"/>
    <w:rsid w:val="0063015E"/>
    <w:rsid w:val="00631301"/>
    <w:rsid w:val="0063176B"/>
    <w:rsid w:val="00632456"/>
    <w:rsid w:val="0063308E"/>
    <w:rsid w:val="00633549"/>
    <w:rsid w:val="0063515C"/>
    <w:rsid w:val="0063536B"/>
    <w:rsid w:val="00635826"/>
    <w:rsid w:val="006361D1"/>
    <w:rsid w:val="006407A0"/>
    <w:rsid w:val="00641244"/>
    <w:rsid w:val="0064158C"/>
    <w:rsid w:val="006431DB"/>
    <w:rsid w:val="006454C3"/>
    <w:rsid w:val="00645698"/>
    <w:rsid w:val="00646BE5"/>
    <w:rsid w:val="00647540"/>
    <w:rsid w:val="00651C58"/>
    <w:rsid w:val="00652145"/>
    <w:rsid w:val="00652C1F"/>
    <w:rsid w:val="00654FAB"/>
    <w:rsid w:val="006552BF"/>
    <w:rsid w:val="00655724"/>
    <w:rsid w:val="00655E6D"/>
    <w:rsid w:val="00656CFA"/>
    <w:rsid w:val="00657464"/>
    <w:rsid w:val="00657EFD"/>
    <w:rsid w:val="00660A2D"/>
    <w:rsid w:val="00660CB0"/>
    <w:rsid w:val="006631F6"/>
    <w:rsid w:val="00663A04"/>
    <w:rsid w:val="00664180"/>
    <w:rsid w:val="006649A4"/>
    <w:rsid w:val="0066594C"/>
    <w:rsid w:val="00665BDF"/>
    <w:rsid w:val="006662A6"/>
    <w:rsid w:val="00667F34"/>
    <w:rsid w:val="006707A7"/>
    <w:rsid w:val="00670EC3"/>
    <w:rsid w:val="00671A14"/>
    <w:rsid w:val="006731EB"/>
    <w:rsid w:val="00673BF7"/>
    <w:rsid w:val="00674948"/>
    <w:rsid w:val="00674990"/>
    <w:rsid w:val="00674B12"/>
    <w:rsid w:val="006774D7"/>
    <w:rsid w:val="00680160"/>
    <w:rsid w:val="00680A6D"/>
    <w:rsid w:val="006813D9"/>
    <w:rsid w:val="00681A75"/>
    <w:rsid w:val="006825B4"/>
    <w:rsid w:val="006837E5"/>
    <w:rsid w:val="00683BA9"/>
    <w:rsid w:val="00684549"/>
    <w:rsid w:val="006847FF"/>
    <w:rsid w:val="00685484"/>
    <w:rsid w:val="00687A0A"/>
    <w:rsid w:val="00687A7E"/>
    <w:rsid w:val="0069104D"/>
    <w:rsid w:val="0069105D"/>
    <w:rsid w:val="00691416"/>
    <w:rsid w:val="00692DC2"/>
    <w:rsid w:val="00693AF9"/>
    <w:rsid w:val="00693F92"/>
    <w:rsid w:val="00694DAE"/>
    <w:rsid w:val="006962BF"/>
    <w:rsid w:val="006968E8"/>
    <w:rsid w:val="00696C99"/>
    <w:rsid w:val="00697E61"/>
    <w:rsid w:val="006A16C1"/>
    <w:rsid w:val="006A1835"/>
    <w:rsid w:val="006A3C5C"/>
    <w:rsid w:val="006A6590"/>
    <w:rsid w:val="006A6623"/>
    <w:rsid w:val="006A716A"/>
    <w:rsid w:val="006B00CD"/>
    <w:rsid w:val="006B1023"/>
    <w:rsid w:val="006B14E3"/>
    <w:rsid w:val="006B2051"/>
    <w:rsid w:val="006B27F1"/>
    <w:rsid w:val="006B28E1"/>
    <w:rsid w:val="006B33FB"/>
    <w:rsid w:val="006B3BB7"/>
    <w:rsid w:val="006B5740"/>
    <w:rsid w:val="006B6A25"/>
    <w:rsid w:val="006C0B2E"/>
    <w:rsid w:val="006C2313"/>
    <w:rsid w:val="006C2414"/>
    <w:rsid w:val="006C2845"/>
    <w:rsid w:val="006C3A8F"/>
    <w:rsid w:val="006C3CA4"/>
    <w:rsid w:val="006C3CC5"/>
    <w:rsid w:val="006C4264"/>
    <w:rsid w:val="006C5656"/>
    <w:rsid w:val="006C5D4A"/>
    <w:rsid w:val="006C6769"/>
    <w:rsid w:val="006C69AA"/>
    <w:rsid w:val="006C6D5A"/>
    <w:rsid w:val="006C71E1"/>
    <w:rsid w:val="006D0261"/>
    <w:rsid w:val="006D067F"/>
    <w:rsid w:val="006D10C1"/>
    <w:rsid w:val="006D13DD"/>
    <w:rsid w:val="006D1BC9"/>
    <w:rsid w:val="006D24FE"/>
    <w:rsid w:val="006D28E3"/>
    <w:rsid w:val="006D5366"/>
    <w:rsid w:val="006D5D7F"/>
    <w:rsid w:val="006D687D"/>
    <w:rsid w:val="006D6B9A"/>
    <w:rsid w:val="006D721A"/>
    <w:rsid w:val="006D77F5"/>
    <w:rsid w:val="006D7B7E"/>
    <w:rsid w:val="006E13E9"/>
    <w:rsid w:val="006E232B"/>
    <w:rsid w:val="006E39A6"/>
    <w:rsid w:val="006E3C64"/>
    <w:rsid w:val="006E53CB"/>
    <w:rsid w:val="006E606D"/>
    <w:rsid w:val="006E6634"/>
    <w:rsid w:val="006E78AD"/>
    <w:rsid w:val="006E7FCF"/>
    <w:rsid w:val="006F0C67"/>
    <w:rsid w:val="006F1E2B"/>
    <w:rsid w:val="006F2602"/>
    <w:rsid w:val="006F2DA7"/>
    <w:rsid w:val="006F36F6"/>
    <w:rsid w:val="006F4891"/>
    <w:rsid w:val="006F49E0"/>
    <w:rsid w:val="006F5D5B"/>
    <w:rsid w:val="006F609E"/>
    <w:rsid w:val="006F6C6C"/>
    <w:rsid w:val="0070137D"/>
    <w:rsid w:val="00701C10"/>
    <w:rsid w:val="00702A8C"/>
    <w:rsid w:val="00704397"/>
    <w:rsid w:val="00705C7C"/>
    <w:rsid w:val="0070643F"/>
    <w:rsid w:val="00706F4B"/>
    <w:rsid w:val="00710BA4"/>
    <w:rsid w:val="00711DEF"/>
    <w:rsid w:val="00712F89"/>
    <w:rsid w:val="007132E6"/>
    <w:rsid w:val="00713ED7"/>
    <w:rsid w:val="00715052"/>
    <w:rsid w:val="007160E7"/>
    <w:rsid w:val="007170DC"/>
    <w:rsid w:val="00717195"/>
    <w:rsid w:val="00720809"/>
    <w:rsid w:val="0072252A"/>
    <w:rsid w:val="00722A55"/>
    <w:rsid w:val="00722B57"/>
    <w:rsid w:val="00722BBC"/>
    <w:rsid w:val="0072303E"/>
    <w:rsid w:val="0072314F"/>
    <w:rsid w:val="00723904"/>
    <w:rsid w:val="007239B4"/>
    <w:rsid w:val="007256BA"/>
    <w:rsid w:val="00725BEC"/>
    <w:rsid w:val="00725D29"/>
    <w:rsid w:val="00727BC2"/>
    <w:rsid w:val="00727C32"/>
    <w:rsid w:val="0073011E"/>
    <w:rsid w:val="00730200"/>
    <w:rsid w:val="0073038E"/>
    <w:rsid w:val="00730391"/>
    <w:rsid w:val="0073094C"/>
    <w:rsid w:val="007309CF"/>
    <w:rsid w:val="00730B75"/>
    <w:rsid w:val="007316CB"/>
    <w:rsid w:val="00731DF5"/>
    <w:rsid w:val="007326BC"/>
    <w:rsid w:val="007334FE"/>
    <w:rsid w:val="007348F0"/>
    <w:rsid w:val="007358CB"/>
    <w:rsid w:val="00735BBA"/>
    <w:rsid w:val="00736C08"/>
    <w:rsid w:val="0073722D"/>
    <w:rsid w:val="007412CD"/>
    <w:rsid w:val="00743174"/>
    <w:rsid w:val="00744117"/>
    <w:rsid w:val="00744E44"/>
    <w:rsid w:val="00744F7F"/>
    <w:rsid w:val="00745035"/>
    <w:rsid w:val="0074565F"/>
    <w:rsid w:val="00745B88"/>
    <w:rsid w:val="00747757"/>
    <w:rsid w:val="007479DE"/>
    <w:rsid w:val="00747DFA"/>
    <w:rsid w:val="00750487"/>
    <w:rsid w:val="007505E2"/>
    <w:rsid w:val="00750E0F"/>
    <w:rsid w:val="007516E7"/>
    <w:rsid w:val="00753633"/>
    <w:rsid w:val="00753B31"/>
    <w:rsid w:val="00753CF1"/>
    <w:rsid w:val="00754246"/>
    <w:rsid w:val="00754C42"/>
    <w:rsid w:val="00757DAF"/>
    <w:rsid w:val="00757E26"/>
    <w:rsid w:val="007602F6"/>
    <w:rsid w:val="007604BA"/>
    <w:rsid w:val="00760752"/>
    <w:rsid w:val="00760FB2"/>
    <w:rsid w:val="0076133B"/>
    <w:rsid w:val="00761416"/>
    <w:rsid w:val="00762327"/>
    <w:rsid w:val="0076274E"/>
    <w:rsid w:val="0076284C"/>
    <w:rsid w:val="00763309"/>
    <w:rsid w:val="007636D8"/>
    <w:rsid w:val="00763E14"/>
    <w:rsid w:val="00765E42"/>
    <w:rsid w:val="0076661D"/>
    <w:rsid w:val="00766E1B"/>
    <w:rsid w:val="00767230"/>
    <w:rsid w:val="007704F1"/>
    <w:rsid w:val="0077096D"/>
    <w:rsid w:val="00772FF9"/>
    <w:rsid w:val="00773280"/>
    <w:rsid w:val="007736E3"/>
    <w:rsid w:val="00775272"/>
    <w:rsid w:val="007752EA"/>
    <w:rsid w:val="00775AD6"/>
    <w:rsid w:val="00775DFE"/>
    <w:rsid w:val="007777ED"/>
    <w:rsid w:val="007806AC"/>
    <w:rsid w:val="00781A60"/>
    <w:rsid w:val="00782787"/>
    <w:rsid w:val="00783058"/>
    <w:rsid w:val="0078315B"/>
    <w:rsid w:val="00784135"/>
    <w:rsid w:val="00784ABC"/>
    <w:rsid w:val="00784C6F"/>
    <w:rsid w:val="00785451"/>
    <w:rsid w:val="0078699D"/>
    <w:rsid w:val="00786C41"/>
    <w:rsid w:val="00786F96"/>
    <w:rsid w:val="00787AC8"/>
    <w:rsid w:val="00787D64"/>
    <w:rsid w:val="00787EA3"/>
    <w:rsid w:val="007907E8"/>
    <w:rsid w:val="00792AC5"/>
    <w:rsid w:val="00792D15"/>
    <w:rsid w:val="007958E7"/>
    <w:rsid w:val="00795B06"/>
    <w:rsid w:val="00796641"/>
    <w:rsid w:val="00796A38"/>
    <w:rsid w:val="00797754"/>
    <w:rsid w:val="007A0722"/>
    <w:rsid w:val="007A08A5"/>
    <w:rsid w:val="007A09CB"/>
    <w:rsid w:val="007A0F9E"/>
    <w:rsid w:val="007A2372"/>
    <w:rsid w:val="007A30C2"/>
    <w:rsid w:val="007A3775"/>
    <w:rsid w:val="007A37E2"/>
    <w:rsid w:val="007A388E"/>
    <w:rsid w:val="007A4176"/>
    <w:rsid w:val="007A4611"/>
    <w:rsid w:val="007A5F71"/>
    <w:rsid w:val="007A618E"/>
    <w:rsid w:val="007A67EF"/>
    <w:rsid w:val="007A6D5D"/>
    <w:rsid w:val="007B0227"/>
    <w:rsid w:val="007B026C"/>
    <w:rsid w:val="007B1350"/>
    <w:rsid w:val="007B1EAC"/>
    <w:rsid w:val="007B1EDC"/>
    <w:rsid w:val="007B28B8"/>
    <w:rsid w:val="007B2CFD"/>
    <w:rsid w:val="007B3B7B"/>
    <w:rsid w:val="007B3E68"/>
    <w:rsid w:val="007B54E4"/>
    <w:rsid w:val="007B5E4B"/>
    <w:rsid w:val="007B647F"/>
    <w:rsid w:val="007C0805"/>
    <w:rsid w:val="007C0C62"/>
    <w:rsid w:val="007C0D0B"/>
    <w:rsid w:val="007C479C"/>
    <w:rsid w:val="007C4835"/>
    <w:rsid w:val="007C54EB"/>
    <w:rsid w:val="007C560D"/>
    <w:rsid w:val="007C5780"/>
    <w:rsid w:val="007C7895"/>
    <w:rsid w:val="007C7C94"/>
    <w:rsid w:val="007C7E5B"/>
    <w:rsid w:val="007D09AB"/>
    <w:rsid w:val="007D23A9"/>
    <w:rsid w:val="007D320D"/>
    <w:rsid w:val="007D4A33"/>
    <w:rsid w:val="007D5B8A"/>
    <w:rsid w:val="007D5C15"/>
    <w:rsid w:val="007D6285"/>
    <w:rsid w:val="007D6320"/>
    <w:rsid w:val="007D6AFD"/>
    <w:rsid w:val="007D71B4"/>
    <w:rsid w:val="007D787E"/>
    <w:rsid w:val="007E0907"/>
    <w:rsid w:val="007E0ED9"/>
    <w:rsid w:val="007E1378"/>
    <w:rsid w:val="007E24DD"/>
    <w:rsid w:val="007E34A7"/>
    <w:rsid w:val="007E50A6"/>
    <w:rsid w:val="007E59B5"/>
    <w:rsid w:val="007E5F58"/>
    <w:rsid w:val="007E652C"/>
    <w:rsid w:val="007E7693"/>
    <w:rsid w:val="007E7F86"/>
    <w:rsid w:val="007F14E0"/>
    <w:rsid w:val="007F1754"/>
    <w:rsid w:val="007F251B"/>
    <w:rsid w:val="007F4C1B"/>
    <w:rsid w:val="007F536D"/>
    <w:rsid w:val="007F642F"/>
    <w:rsid w:val="007F66F0"/>
    <w:rsid w:val="00802964"/>
    <w:rsid w:val="00802CD8"/>
    <w:rsid w:val="00802EC0"/>
    <w:rsid w:val="00807D6F"/>
    <w:rsid w:val="00811A15"/>
    <w:rsid w:val="00814967"/>
    <w:rsid w:val="0081662C"/>
    <w:rsid w:val="00816893"/>
    <w:rsid w:val="0082003F"/>
    <w:rsid w:val="00820287"/>
    <w:rsid w:val="00820854"/>
    <w:rsid w:val="00821A45"/>
    <w:rsid w:val="00822A08"/>
    <w:rsid w:val="00822A0E"/>
    <w:rsid w:val="008239FC"/>
    <w:rsid w:val="00823EFB"/>
    <w:rsid w:val="0083057F"/>
    <w:rsid w:val="00830B90"/>
    <w:rsid w:val="00830D56"/>
    <w:rsid w:val="008310DE"/>
    <w:rsid w:val="008312CF"/>
    <w:rsid w:val="0083157A"/>
    <w:rsid w:val="00831BF2"/>
    <w:rsid w:val="00831E3B"/>
    <w:rsid w:val="00832A86"/>
    <w:rsid w:val="00833323"/>
    <w:rsid w:val="00833FB7"/>
    <w:rsid w:val="008347EA"/>
    <w:rsid w:val="00834B41"/>
    <w:rsid w:val="0083598E"/>
    <w:rsid w:val="00836073"/>
    <w:rsid w:val="00836324"/>
    <w:rsid w:val="008363C3"/>
    <w:rsid w:val="00837015"/>
    <w:rsid w:val="00837246"/>
    <w:rsid w:val="00837A29"/>
    <w:rsid w:val="00837A9F"/>
    <w:rsid w:val="00840241"/>
    <w:rsid w:val="00840C0B"/>
    <w:rsid w:val="00841B82"/>
    <w:rsid w:val="00841DFA"/>
    <w:rsid w:val="008429CF"/>
    <w:rsid w:val="00843752"/>
    <w:rsid w:val="00844703"/>
    <w:rsid w:val="00844E53"/>
    <w:rsid w:val="00845218"/>
    <w:rsid w:val="00845807"/>
    <w:rsid w:val="00845F06"/>
    <w:rsid w:val="00847464"/>
    <w:rsid w:val="00850493"/>
    <w:rsid w:val="00851649"/>
    <w:rsid w:val="008539E7"/>
    <w:rsid w:val="00854F33"/>
    <w:rsid w:val="008557A9"/>
    <w:rsid w:val="00856C21"/>
    <w:rsid w:val="00856F26"/>
    <w:rsid w:val="008570E2"/>
    <w:rsid w:val="00860324"/>
    <w:rsid w:val="00861FAE"/>
    <w:rsid w:val="00862833"/>
    <w:rsid w:val="008633F7"/>
    <w:rsid w:val="008638AB"/>
    <w:rsid w:val="008638E4"/>
    <w:rsid w:val="00864068"/>
    <w:rsid w:val="00865FCA"/>
    <w:rsid w:val="00866E88"/>
    <w:rsid w:val="00870BD2"/>
    <w:rsid w:val="008723B5"/>
    <w:rsid w:val="00872F37"/>
    <w:rsid w:val="00873BC1"/>
    <w:rsid w:val="00873DE0"/>
    <w:rsid w:val="008745DA"/>
    <w:rsid w:val="00874E67"/>
    <w:rsid w:val="00875B8D"/>
    <w:rsid w:val="00875BBF"/>
    <w:rsid w:val="008763DB"/>
    <w:rsid w:val="00876692"/>
    <w:rsid w:val="00876A78"/>
    <w:rsid w:val="00876B19"/>
    <w:rsid w:val="008800CD"/>
    <w:rsid w:val="00886307"/>
    <w:rsid w:val="0088637F"/>
    <w:rsid w:val="008867B8"/>
    <w:rsid w:val="008879F8"/>
    <w:rsid w:val="0089248B"/>
    <w:rsid w:val="00892F97"/>
    <w:rsid w:val="008936AF"/>
    <w:rsid w:val="008940D4"/>
    <w:rsid w:val="00895492"/>
    <w:rsid w:val="00895EF3"/>
    <w:rsid w:val="00895FBB"/>
    <w:rsid w:val="008966D2"/>
    <w:rsid w:val="008A275A"/>
    <w:rsid w:val="008A3771"/>
    <w:rsid w:val="008A3CE9"/>
    <w:rsid w:val="008A56C5"/>
    <w:rsid w:val="008A641A"/>
    <w:rsid w:val="008A6A23"/>
    <w:rsid w:val="008A727E"/>
    <w:rsid w:val="008A79A6"/>
    <w:rsid w:val="008B36E7"/>
    <w:rsid w:val="008B420F"/>
    <w:rsid w:val="008B5B46"/>
    <w:rsid w:val="008B5FB3"/>
    <w:rsid w:val="008B7395"/>
    <w:rsid w:val="008C0784"/>
    <w:rsid w:val="008C10C0"/>
    <w:rsid w:val="008C1DE1"/>
    <w:rsid w:val="008C27FB"/>
    <w:rsid w:val="008C3A66"/>
    <w:rsid w:val="008C62D7"/>
    <w:rsid w:val="008C7670"/>
    <w:rsid w:val="008C7AEF"/>
    <w:rsid w:val="008D2512"/>
    <w:rsid w:val="008D3918"/>
    <w:rsid w:val="008D3F7B"/>
    <w:rsid w:val="008D5870"/>
    <w:rsid w:val="008D5E9D"/>
    <w:rsid w:val="008D671F"/>
    <w:rsid w:val="008D6ECC"/>
    <w:rsid w:val="008E257C"/>
    <w:rsid w:val="008E2E24"/>
    <w:rsid w:val="008E2E99"/>
    <w:rsid w:val="008E4053"/>
    <w:rsid w:val="008E667C"/>
    <w:rsid w:val="008F04C7"/>
    <w:rsid w:val="008F0F05"/>
    <w:rsid w:val="008F1477"/>
    <w:rsid w:val="008F5B50"/>
    <w:rsid w:val="008F5BF4"/>
    <w:rsid w:val="008F78FD"/>
    <w:rsid w:val="008F7CDD"/>
    <w:rsid w:val="009028DD"/>
    <w:rsid w:val="00902FEC"/>
    <w:rsid w:val="00903118"/>
    <w:rsid w:val="0090385F"/>
    <w:rsid w:val="009039F3"/>
    <w:rsid w:val="0090433A"/>
    <w:rsid w:val="00904D08"/>
    <w:rsid w:val="00904FFD"/>
    <w:rsid w:val="00905C72"/>
    <w:rsid w:val="0090697F"/>
    <w:rsid w:val="00906AEA"/>
    <w:rsid w:val="00907554"/>
    <w:rsid w:val="00907802"/>
    <w:rsid w:val="0091064F"/>
    <w:rsid w:val="009111F6"/>
    <w:rsid w:val="00914CA4"/>
    <w:rsid w:val="00915590"/>
    <w:rsid w:val="009164CD"/>
    <w:rsid w:val="00917341"/>
    <w:rsid w:val="009176E4"/>
    <w:rsid w:val="00917882"/>
    <w:rsid w:val="00917C33"/>
    <w:rsid w:val="00920124"/>
    <w:rsid w:val="009221D0"/>
    <w:rsid w:val="00922D91"/>
    <w:rsid w:val="009238BC"/>
    <w:rsid w:val="0092493F"/>
    <w:rsid w:val="009251B7"/>
    <w:rsid w:val="009252D2"/>
    <w:rsid w:val="00926A01"/>
    <w:rsid w:val="00927BFF"/>
    <w:rsid w:val="00930294"/>
    <w:rsid w:val="00930753"/>
    <w:rsid w:val="00930C85"/>
    <w:rsid w:val="0093172C"/>
    <w:rsid w:val="009324BC"/>
    <w:rsid w:val="00934C67"/>
    <w:rsid w:val="00935920"/>
    <w:rsid w:val="00935B74"/>
    <w:rsid w:val="00936274"/>
    <w:rsid w:val="009367D0"/>
    <w:rsid w:val="00937BA4"/>
    <w:rsid w:val="009405B7"/>
    <w:rsid w:val="00941CB2"/>
    <w:rsid w:val="0094248C"/>
    <w:rsid w:val="00947BF6"/>
    <w:rsid w:val="00950DBA"/>
    <w:rsid w:val="00951CDB"/>
    <w:rsid w:val="00952307"/>
    <w:rsid w:val="009537DE"/>
    <w:rsid w:val="009549DD"/>
    <w:rsid w:val="00956444"/>
    <w:rsid w:val="00956468"/>
    <w:rsid w:val="00956A2D"/>
    <w:rsid w:val="00957B2F"/>
    <w:rsid w:val="00957CF6"/>
    <w:rsid w:val="00957D77"/>
    <w:rsid w:val="00960DEF"/>
    <w:rsid w:val="009620EB"/>
    <w:rsid w:val="009623F0"/>
    <w:rsid w:val="009639D6"/>
    <w:rsid w:val="009642F8"/>
    <w:rsid w:val="00964E49"/>
    <w:rsid w:val="00966581"/>
    <w:rsid w:val="00966E15"/>
    <w:rsid w:val="0097140C"/>
    <w:rsid w:val="00971CFD"/>
    <w:rsid w:val="00973B18"/>
    <w:rsid w:val="00974AD4"/>
    <w:rsid w:val="0097505D"/>
    <w:rsid w:val="00975987"/>
    <w:rsid w:val="00976E02"/>
    <w:rsid w:val="00976E3A"/>
    <w:rsid w:val="00976FC9"/>
    <w:rsid w:val="0098065D"/>
    <w:rsid w:val="0098078C"/>
    <w:rsid w:val="0098403D"/>
    <w:rsid w:val="00985176"/>
    <w:rsid w:val="0099094F"/>
    <w:rsid w:val="00990C80"/>
    <w:rsid w:val="00991923"/>
    <w:rsid w:val="00991932"/>
    <w:rsid w:val="0099397C"/>
    <w:rsid w:val="00994325"/>
    <w:rsid w:val="009943C0"/>
    <w:rsid w:val="0099465B"/>
    <w:rsid w:val="00994B51"/>
    <w:rsid w:val="00994F99"/>
    <w:rsid w:val="0099522A"/>
    <w:rsid w:val="0099596C"/>
    <w:rsid w:val="00996779"/>
    <w:rsid w:val="00997A03"/>
    <w:rsid w:val="009A188E"/>
    <w:rsid w:val="009A1FCC"/>
    <w:rsid w:val="009A20EA"/>
    <w:rsid w:val="009A23F2"/>
    <w:rsid w:val="009A24C7"/>
    <w:rsid w:val="009A2E3F"/>
    <w:rsid w:val="009A3FA0"/>
    <w:rsid w:val="009A4397"/>
    <w:rsid w:val="009A5C84"/>
    <w:rsid w:val="009B0537"/>
    <w:rsid w:val="009B16D3"/>
    <w:rsid w:val="009B3B0F"/>
    <w:rsid w:val="009B46C9"/>
    <w:rsid w:val="009B52D3"/>
    <w:rsid w:val="009B5494"/>
    <w:rsid w:val="009B6439"/>
    <w:rsid w:val="009B75A8"/>
    <w:rsid w:val="009B7DC1"/>
    <w:rsid w:val="009B7EB1"/>
    <w:rsid w:val="009B7FE2"/>
    <w:rsid w:val="009B7FE9"/>
    <w:rsid w:val="009C1A5D"/>
    <w:rsid w:val="009C1DEC"/>
    <w:rsid w:val="009C3197"/>
    <w:rsid w:val="009C3520"/>
    <w:rsid w:val="009C37B8"/>
    <w:rsid w:val="009C47BB"/>
    <w:rsid w:val="009C60C7"/>
    <w:rsid w:val="009C7008"/>
    <w:rsid w:val="009D0331"/>
    <w:rsid w:val="009D18AB"/>
    <w:rsid w:val="009D2812"/>
    <w:rsid w:val="009D404B"/>
    <w:rsid w:val="009D4147"/>
    <w:rsid w:val="009D444C"/>
    <w:rsid w:val="009D4623"/>
    <w:rsid w:val="009D536E"/>
    <w:rsid w:val="009D5DE4"/>
    <w:rsid w:val="009D6B54"/>
    <w:rsid w:val="009D7070"/>
    <w:rsid w:val="009D7210"/>
    <w:rsid w:val="009D7D2A"/>
    <w:rsid w:val="009E0239"/>
    <w:rsid w:val="009E0359"/>
    <w:rsid w:val="009E03AB"/>
    <w:rsid w:val="009E0C8C"/>
    <w:rsid w:val="009E10D2"/>
    <w:rsid w:val="009E192D"/>
    <w:rsid w:val="009E1FA1"/>
    <w:rsid w:val="009E325F"/>
    <w:rsid w:val="009E43D5"/>
    <w:rsid w:val="009E44A2"/>
    <w:rsid w:val="009E5A9C"/>
    <w:rsid w:val="009E719C"/>
    <w:rsid w:val="009E7A03"/>
    <w:rsid w:val="009F249C"/>
    <w:rsid w:val="009F3D66"/>
    <w:rsid w:val="009F4017"/>
    <w:rsid w:val="009F5583"/>
    <w:rsid w:val="009F5662"/>
    <w:rsid w:val="009F5C32"/>
    <w:rsid w:val="009F74A8"/>
    <w:rsid w:val="009F75DA"/>
    <w:rsid w:val="00A0011C"/>
    <w:rsid w:val="00A00601"/>
    <w:rsid w:val="00A00C83"/>
    <w:rsid w:val="00A01082"/>
    <w:rsid w:val="00A019BB"/>
    <w:rsid w:val="00A04285"/>
    <w:rsid w:val="00A04E41"/>
    <w:rsid w:val="00A0520D"/>
    <w:rsid w:val="00A05DF4"/>
    <w:rsid w:val="00A06EB6"/>
    <w:rsid w:val="00A0769A"/>
    <w:rsid w:val="00A07E29"/>
    <w:rsid w:val="00A10E97"/>
    <w:rsid w:val="00A12309"/>
    <w:rsid w:val="00A1245F"/>
    <w:rsid w:val="00A142C1"/>
    <w:rsid w:val="00A14F30"/>
    <w:rsid w:val="00A16399"/>
    <w:rsid w:val="00A1697E"/>
    <w:rsid w:val="00A17E4E"/>
    <w:rsid w:val="00A21711"/>
    <w:rsid w:val="00A22F4C"/>
    <w:rsid w:val="00A2650E"/>
    <w:rsid w:val="00A26BE1"/>
    <w:rsid w:val="00A26C9C"/>
    <w:rsid w:val="00A270D9"/>
    <w:rsid w:val="00A30B83"/>
    <w:rsid w:val="00A31155"/>
    <w:rsid w:val="00A319A7"/>
    <w:rsid w:val="00A33553"/>
    <w:rsid w:val="00A338D8"/>
    <w:rsid w:val="00A348E7"/>
    <w:rsid w:val="00A34B22"/>
    <w:rsid w:val="00A35332"/>
    <w:rsid w:val="00A355EE"/>
    <w:rsid w:val="00A35991"/>
    <w:rsid w:val="00A35FFF"/>
    <w:rsid w:val="00A36181"/>
    <w:rsid w:val="00A37E06"/>
    <w:rsid w:val="00A37F8F"/>
    <w:rsid w:val="00A402B1"/>
    <w:rsid w:val="00A4573D"/>
    <w:rsid w:val="00A45E97"/>
    <w:rsid w:val="00A50B75"/>
    <w:rsid w:val="00A50DB4"/>
    <w:rsid w:val="00A50FE5"/>
    <w:rsid w:val="00A512F5"/>
    <w:rsid w:val="00A537E7"/>
    <w:rsid w:val="00A5404F"/>
    <w:rsid w:val="00A54082"/>
    <w:rsid w:val="00A5530C"/>
    <w:rsid w:val="00A553E9"/>
    <w:rsid w:val="00A556A8"/>
    <w:rsid w:val="00A566DF"/>
    <w:rsid w:val="00A56EB0"/>
    <w:rsid w:val="00A575DF"/>
    <w:rsid w:val="00A5764D"/>
    <w:rsid w:val="00A57F07"/>
    <w:rsid w:val="00A60F71"/>
    <w:rsid w:val="00A6220F"/>
    <w:rsid w:val="00A65DCB"/>
    <w:rsid w:val="00A70329"/>
    <w:rsid w:val="00A71103"/>
    <w:rsid w:val="00A71C4C"/>
    <w:rsid w:val="00A7209F"/>
    <w:rsid w:val="00A727D7"/>
    <w:rsid w:val="00A73CD8"/>
    <w:rsid w:val="00A73D98"/>
    <w:rsid w:val="00A74784"/>
    <w:rsid w:val="00A74FE3"/>
    <w:rsid w:val="00A766B5"/>
    <w:rsid w:val="00A77071"/>
    <w:rsid w:val="00A77F8B"/>
    <w:rsid w:val="00A82382"/>
    <w:rsid w:val="00A82A76"/>
    <w:rsid w:val="00A83F60"/>
    <w:rsid w:val="00A8550F"/>
    <w:rsid w:val="00A85D4A"/>
    <w:rsid w:val="00A87EED"/>
    <w:rsid w:val="00A87F21"/>
    <w:rsid w:val="00A900D3"/>
    <w:rsid w:val="00A9083C"/>
    <w:rsid w:val="00A916D9"/>
    <w:rsid w:val="00A92A96"/>
    <w:rsid w:val="00A9511C"/>
    <w:rsid w:val="00A9564B"/>
    <w:rsid w:val="00A95AA3"/>
    <w:rsid w:val="00AA0D56"/>
    <w:rsid w:val="00AA137E"/>
    <w:rsid w:val="00AA148E"/>
    <w:rsid w:val="00AA4588"/>
    <w:rsid w:val="00AA4676"/>
    <w:rsid w:val="00AA5460"/>
    <w:rsid w:val="00AA5636"/>
    <w:rsid w:val="00AA59FA"/>
    <w:rsid w:val="00AA693C"/>
    <w:rsid w:val="00AA718A"/>
    <w:rsid w:val="00AB09B9"/>
    <w:rsid w:val="00AB11C5"/>
    <w:rsid w:val="00AB2459"/>
    <w:rsid w:val="00AB245A"/>
    <w:rsid w:val="00AB2A0A"/>
    <w:rsid w:val="00AB41A1"/>
    <w:rsid w:val="00AB4BFA"/>
    <w:rsid w:val="00AB4E2C"/>
    <w:rsid w:val="00AB5118"/>
    <w:rsid w:val="00AB5543"/>
    <w:rsid w:val="00AB5D3E"/>
    <w:rsid w:val="00AB5F83"/>
    <w:rsid w:val="00AC07F4"/>
    <w:rsid w:val="00AC159F"/>
    <w:rsid w:val="00AC1A9C"/>
    <w:rsid w:val="00AC1B1E"/>
    <w:rsid w:val="00AC4ACF"/>
    <w:rsid w:val="00AC4B40"/>
    <w:rsid w:val="00AC4C04"/>
    <w:rsid w:val="00AC5CA4"/>
    <w:rsid w:val="00AC6137"/>
    <w:rsid w:val="00AC7A01"/>
    <w:rsid w:val="00AC7D49"/>
    <w:rsid w:val="00AD0E4C"/>
    <w:rsid w:val="00AD426E"/>
    <w:rsid w:val="00AD6AE6"/>
    <w:rsid w:val="00AE0669"/>
    <w:rsid w:val="00AE0B88"/>
    <w:rsid w:val="00AE231C"/>
    <w:rsid w:val="00AE2E2F"/>
    <w:rsid w:val="00AE31C7"/>
    <w:rsid w:val="00AE45D9"/>
    <w:rsid w:val="00AE481D"/>
    <w:rsid w:val="00AE5990"/>
    <w:rsid w:val="00AE5A48"/>
    <w:rsid w:val="00AE63B7"/>
    <w:rsid w:val="00AF0924"/>
    <w:rsid w:val="00AF0D3F"/>
    <w:rsid w:val="00AF12E0"/>
    <w:rsid w:val="00AF1B53"/>
    <w:rsid w:val="00AF331B"/>
    <w:rsid w:val="00AF4EAC"/>
    <w:rsid w:val="00AF5C7F"/>
    <w:rsid w:val="00AF63D3"/>
    <w:rsid w:val="00AF641A"/>
    <w:rsid w:val="00AF6BCE"/>
    <w:rsid w:val="00AF6F8E"/>
    <w:rsid w:val="00B0061C"/>
    <w:rsid w:val="00B03530"/>
    <w:rsid w:val="00B0368D"/>
    <w:rsid w:val="00B05D74"/>
    <w:rsid w:val="00B06985"/>
    <w:rsid w:val="00B06C01"/>
    <w:rsid w:val="00B07225"/>
    <w:rsid w:val="00B12082"/>
    <w:rsid w:val="00B1326F"/>
    <w:rsid w:val="00B14429"/>
    <w:rsid w:val="00B1477D"/>
    <w:rsid w:val="00B149B2"/>
    <w:rsid w:val="00B156E3"/>
    <w:rsid w:val="00B16206"/>
    <w:rsid w:val="00B16A10"/>
    <w:rsid w:val="00B16E1B"/>
    <w:rsid w:val="00B1738F"/>
    <w:rsid w:val="00B178B3"/>
    <w:rsid w:val="00B17D4A"/>
    <w:rsid w:val="00B17F28"/>
    <w:rsid w:val="00B211EC"/>
    <w:rsid w:val="00B21716"/>
    <w:rsid w:val="00B21C40"/>
    <w:rsid w:val="00B220DE"/>
    <w:rsid w:val="00B2239B"/>
    <w:rsid w:val="00B22959"/>
    <w:rsid w:val="00B230DF"/>
    <w:rsid w:val="00B23FC3"/>
    <w:rsid w:val="00B2521A"/>
    <w:rsid w:val="00B253A8"/>
    <w:rsid w:val="00B2555B"/>
    <w:rsid w:val="00B25603"/>
    <w:rsid w:val="00B27165"/>
    <w:rsid w:val="00B275F9"/>
    <w:rsid w:val="00B27A17"/>
    <w:rsid w:val="00B304FC"/>
    <w:rsid w:val="00B30525"/>
    <w:rsid w:val="00B307BC"/>
    <w:rsid w:val="00B30C2D"/>
    <w:rsid w:val="00B315BC"/>
    <w:rsid w:val="00B31F93"/>
    <w:rsid w:val="00B32F09"/>
    <w:rsid w:val="00B3361A"/>
    <w:rsid w:val="00B33843"/>
    <w:rsid w:val="00B34238"/>
    <w:rsid w:val="00B35736"/>
    <w:rsid w:val="00B368E0"/>
    <w:rsid w:val="00B40902"/>
    <w:rsid w:val="00B409FD"/>
    <w:rsid w:val="00B40A3F"/>
    <w:rsid w:val="00B45E11"/>
    <w:rsid w:val="00B470CB"/>
    <w:rsid w:val="00B50195"/>
    <w:rsid w:val="00B519FE"/>
    <w:rsid w:val="00B52207"/>
    <w:rsid w:val="00B5298C"/>
    <w:rsid w:val="00B55A52"/>
    <w:rsid w:val="00B55AC9"/>
    <w:rsid w:val="00B56DCE"/>
    <w:rsid w:val="00B57DBC"/>
    <w:rsid w:val="00B62681"/>
    <w:rsid w:val="00B63601"/>
    <w:rsid w:val="00B64871"/>
    <w:rsid w:val="00B64AE5"/>
    <w:rsid w:val="00B64DB6"/>
    <w:rsid w:val="00B668A1"/>
    <w:rsid w:val="00B66A46"/>
    <w:rsid w:val="00B66F4C"/>
    <w:rsid w:val="00B678D7"/>
    <w:rsid w:val="00B71105"/>
    <w:rsid w:val="00B71784"/>
    <w:rsid w:val="00B76B7A"/>
    <w:rsid w:val="00B775CF"/>
    <w:rsid w:val="00B77E4B"/>
    <w:rsid w:val="00B80432"/>
    <w:rsid w:val="00B81B32"/>
    <w:rsid w:val="00B82484"/>
    <w:rsid w:val="00B83A42"/>
    <w:rsid w:val="00B84D9A"/>
    <w:rsid w:val="00B861F6"/>
    <w:rsid w:val="00B87A08"/>
    <w:rsid w:val="00B901C2"/>
    <w:rsid w:val="00B90F18"/>
    <w:rsid w:val="00B91675"/>
    <w:rsid w:val="00B91C11"/>
    <w:rsid w:val="00B9298A"/>
    <w:rsid w:val="00B938E2"/>
    <w:rsid w:val="00B9542B"/>
    <w:rsid w:val="00B96E2D"/>
    <w:rsid w:val="00B975EB"/>
    <w:rsid w:val="00B97665"/>
    <w:rsid w:val="00BA0628"/>
    <w:rsid w:val="00BA19FE"/>
    <w:rsid w:val="00BA1D88"/>
    <w:rsid w:val="00BA2014"/>
    <w:rsid w:val="00BA28C8"/>
    <w:rsid w:val="00BA2D27"/>
    <w:rsid w:val="00BA2F62"/>
    <w:rsid w:val="00BA3E99"/>
    <w:rsid w:val="00BA4628"/>
    <w:rsid w:val="00BA4A54"/>
    <w:rsid w:val="00BA4D27"/>
    <w:rsid w:val="00BA6109"/>
    <w:rsid w:val="00BA6305"/>
    <w:rsid w:val="00BB0194"/>
    <w:rsid w:val="00BB0882"/>
    <w:rsid w:val="00BB2481"/>
    <w:rsid w:val="00BB3553"/>
    <w:rsid w:val="00BB3593"/>
    <w:rsid w:val="00BB35B4"/>
    <w:rsid w:val="00BB5732"/>
    <w:rsid w:val="00BB60D6"/>
    <w:rsid w:val="00BB68F2"/>
    <w:rsid w:val="00BB6FAF"/>
    <w:rsid w:val="00BB7DBF"/>
    <w:rsid w:val="00BC117A"/>
    <w:rsid w:val="00BC126A"/>
    <w:rsid w:val="00BC2281"/>
    <w:rsid w:val="00BC23C4"/>
    <w:rsid w:val="00BC28C5"/>
    <w:rsid w:val="00BC2991"/>
    <w:rsid w:val="00BC29F0"/>
    <w:rsid w:val="00BC3C79"/>
    <w:rsid w:val="00BC46CB"/>
    <w:rsid w:val="00BC5352"/>
    <w:rsid w:val="00BC6F66"/>
    <w:rsid w:val="00BC7123"/>
    <w:rsid w:val="00BC7297"/>
    <w:rsid w:val="00BC7778"/>
    <w:rsid w:val="00BD1E13"/>
    <w:rsid w:val="00BD2BBB"/>
    <w:rsid w:val="00BD56F9"/>
    <w:rsid w:val="00BD7A2E"/>
    <w:rsid w:val="00BE0E00"/>
    <w:rsid w:val="00BE2354"/>
    <w:rsid w:val="00BE3CE6"/>
    <w:rsid w:val="00BE4D7C"/>
    <w:rsid w:val="00BE603B"/>
    <w:rsid w:val="00BE780E"/>
    <w:rsid w:val="00BF02A1"/>
    <w:rsid w:val="00BF0C2D"/>
    <w:rsid w:val="00BF114F"/>
    <w:rsid w:val="00BF1F2D"/>
    <w:rsid w:val="00BF32C3"/>
    <w:rsid w:val="00BF39C8"/>
    <w:rsid w:val="00BF4585"/>
    <w:rsid w:val="00BF491D"/>
    <w:rsid w:val="00BF567E"/>
    <w:rsid w:val="00BF5F4D"/>
    <w:rsid w:val="00BF7121"/>
    <w:rsid w:val="00BF7F9D"/>
    <w:rsid w:val="00C01886"/>
    <w:rsid w:val="00C02A32"/>
    <w:rsid w:val="00C02C32"/>
    <w:rsid w:val="00C03B47"/>
    <w:rsid w:val="00C03E2B"/>
    <w:rsid w:val="00C04BFF"/>
    <w:rsid w:val="00C0569F"/>
    <w:rsid w:val="00C0582A"/>
    <w:rsid w:val="00C05E73"/>
    <w:rsid w:val="00C0655A"/>
    <w:rsid w:val="00C06C18"/>
    <w:rsid w:val="00C06FDD"/>
    <w:rsid w:val="00C07ACE"/>
    <w:rsid w:val="00C128C7"/>
    <w:rsid w:val="00C12B81"/>
    <w:rsid w:val="00C13A7B"/>
    <w:rsid w:val="00C13E1F"/>
    <w:rsid w:val="00C146B9"/>
    <w:rsid w:val="00C1589B"/>
    <w:rsid w:val="00C15BCA"/>
    <w:rsid w:val="00C17715"/>
    <w:rsid w:val="00C1799A"/>
    <w:rsid w:val="00C2047D"/>
    <w:rsid w:val="00C2055B"/>
    <w:rsid w:val="00C20A9F"/>
    <w:rsid w:val="00C20C1E"/>
    <w:rsid w:val="00C21077"/>
    <w:rsid w:val="00C21FD6"/>
    <w:rsid w:val="00C2477D"/>
    <w:rsid w:val="00C249FF"/>
    <w:rsid w:val="00C24D5C"/>
    <w:rsid w:val="00C251FA"/>
    <w:rsid w:val="00C31ACD"/>
    <w:rsid w:val="00C33B4F"/>
    <w:rsid w:val="00C33D25"/>
    <w:rsid w:val="00C342BD"/>
    <w:rsid w:val="00C34669"/>
    <w:rsid w:val="00C35211"/>
    <w:rsid w:val="00C35765"/>
    <w:rsid w:val="00C36B2E"/>
    <w:rsid w:val="00C3710B"/>
    <w:rsid w:val="00C400D7"/>
    <w:rsid w:val="00C41BC6"/>
    <w:rsid w:val="00C42F9F"/>
    <w:rsid w:val="00C43271"/>
    <w:rsid w:val="00C43942"/>
    <w:rsid w:val="00C43CAE"/>
    <w:rsid w:val="00C44A86"/>
    <w:rsid w:val="00C4554F"/>
    <w:rsid w:val="00C4748E"/>
    <w:rsid w:val="00C50175"/>
    <w:rsid w:val="00C50A41"/>
    <w:rsid w:val="00C520A8"/>
    <w:rsid w:val="00C53913"/>
    <w:rsid w:val="00C54522"/>
    <w:rsid w:val="00C55813"/>
    <w:rsid w:val="00C558CB"/>
    <w:rsid w:val="00C5714E"/>
    <w:rsid w:val="00C57ADE"/>
    <w:rsid w:val="00C60798"/>
    <w:rsid w:val="00C60C65"/>
    <w:rsid w:val="00C61E97"/>
    <w:rsid w:val="00C625D8"/>
    <w:rsid w:val="00C62F9D"/>
    <w:rsid w:val="00C63ACC"/>
    <w:rsid w:val="00C64107"/>
    <w:rsid w:val="00C6443F"/>
    <w:rsid w:val="00C64528"/>
    <w:rsid w:val="00C64FCE"/>
    <w:rsid w:val="00C64FF2"/>
    <w:rsid w:val="00C65D10"/>
    <w:rsid w:val="00C670B3"/>
    <w:rsid w:val="00C67EE0"/>
    <w:rsid w:val="00C67F81"/>
    <w:rsid w:val="00C71EE2"/>
    <w:rsid w:val="00C72D96"/>
    <w:rsid w:val="00C74434"/>
    <w:rsid w:val="00C74EB2"/>
    <w:rsid w:val="00C75F1C"/>
    <w:rsid w:val="00C77674"/>
    <w:rsid w:val="00C7798F"/>
    <w:rsid w:val="00C77FDD"/>
    <w:rsid w:val="00C818FB"/>
    <w:rsid w:val="00C84F38"/>
    <w:rsid w:val="00C86CD1"/>
    <w:rsid w:val="00C90180"/>
    <w:rsid w:val="00C90C24"/>
    <w:rsid w:val="00C9103E"/>
    <w:rsid w:val="00C9167F"/>
    <w:rsid w:val="00C91CD4"/>
    <w:rsid w:val="00C92224"/>
    <w:rsid w:val="00C92517"/>
    <w:rsid w:val="00C94A97"/>
    <w:rsid w:val="00C97060"/>
    <w:rsid w:val="00C97564"/>
    <w:rsid w:val="00CA0C91"/>
    <w:rsid w:val="00CA10E2"/>
    <w:rsid w:val="00CA1389"/>
    <w:rsid w:val="00CA175D"/>
    <w:rsid w:val="00CA19FB"/>
    <w:rsid w:val="00CA3220"/>
    <w:rsid w:val="00CA32B4"/>
    <w:rsid w:val="00CA39A9"/>
    <w:rsid w:val="00CA3E3E"/>
    <w:rsid w:val="00CA3FA4"/>
    <w:rsid w:val="00CA4ABB"/>
    <w:rsid w:val="00CA4E54"/>
    <w:rsid w:val="00CA5667"/>
    <w:rsid w:val="00CA73AF"/>
    <w:rsid w:val="00CA7BB2"/>
    <w:rsid w:val="00CB12E5"/>
    <w:rsid w:val="00CB19E4"/>
    <w:rsid w:val="00CB2D87"/>
    <w:rsid w:val="00CB319F"/>
    <w:rsid w:val="00CB4042"/>
    <w:rsid w:val="00CB4152"/>
    <w:rsid w:val="00CB418F"/>
    <w:rsid w:val="00CB5851"/>
    <w:rsid w:val="00CB732D"/>
    <w:rsid w:val="00CB76D8"/>
    <w:rsid w:val="00CC2A78"/>
    <w:rsid w:val="00CC36CA"/>
    <w:rsid w:val="00CC38C9"/>
    <w:rsid w:val="00CC3E36"/>
    <w:rsid w:val="00CC3F78"/>
    <w:rsid w:val="00CC503C"/>
    <w:rsid w:val="00CC6DF0"/>
    <w:rsid w:val="00CD0629"/>
    <w:rsid w:val="00CD18F2"/>
    <w:rsid w:val="00CD305B"/>
    <w:rsid w:val="00CD3F25"/>
    <w:rsid w:val="00CD4C49"/>
    <w:rsid w:val="00CD70DA"/>
    <w:rsid w:val="00CE0620"/>
    <w:rsid w:val="00CE071B"/>
    <w:rsid w:val="00CE120C"/>
    <w:rsid w:val="00CE3CB8"/>
    <w:rsid w:val="00CE77C8"/>
    <w:rsid w:val="00CE782C"/>
    <w:rsid w:val="00CE7FB4"/>
    <w:rsid w:val="00CF0463"/>
    <w:rsid w:val="00CF0F05"/>
    <w:rsid w:val="00CF1EF4"/>
    <w:rsid w:val="00CF37FD"/>
    <w:rsid w:val="00CF5014"/>
    <w:rsid w:val="00CF537A"/>
    <w:rsid w:val="00CF6F1F"/>
    <w:rsid w:val="00CF761C"/>
    <w:rsid w:val="00D010F2"/>
    <w:rsid w:val="00D022EF"/>
    <w:rsid w:val="00D03DA4"/>
    <w:rsid w:val="00D04840"/>
    <w:rsid w:val="00D04D6B"/>
    <w:rsid w:val="00D053A7"/>
    <w:rsid w:val="00D05F65"/>
    <w:rsid w:val="00D069C8"/>
    <w:rsid w:val="00D06A1A"/>
    <w:rsid w:val="00D0756A"/>
    <w:rsid w:val="00D130CC"/>
    <w:rsid w:val="00D13CD8"/>
    <w:rsid w:val="00D13FD4"/>
    <w:rsid w:val="00D16493"/>
    <w:rsid w:val="00D17108"/>
    <w:rsid w:val="00D220F3"/>
    <w:rsid w:val="00D250C9"/>
    <w:rsid w:val="00D25C70"/>
    <w:rsid w:val="00D26097"/>
    <w:rsid w:val="00D27FB8"/>
    <w:rsid w:val="00D3347B"/>
    <w:rsid w:val="00D34688"/>
    <w:rsid w:val="00D34B1A"/>
    <w:rsid w:val="00D34FBA"/>
    <w:rsid w:val="00D35AF4"/>
    <w:rsid w:val="00D35D89"/>
    <w:rsid w:val="00D35FD1"/>
    <w:rsid w:val="00D36AFE"/>
    <w:rsid w:val="00D37E4F"/>
    <w:rsid w:val="00D41C34"/>
    <w:rsid w:val="00D41EE8"/>
    <w:rsid w:val="00D43675"/>
    <w:rsid w:val="00D44AC4"/>
    <w:rsid w:val="00D45064"/>
    <w:rsid w:val="00D4538B"/>
    <w:rsid w:val="00D46086"/>
    <w:rsid w:val="00D4708C"/>
    <w:rsid w:val="00D472E4"/>
    <w:rsid w:val="00D50C29"/>
    <w:rsid w:val="00D5155D"/>
    <w:rsid w:val="00D51C93"/>
    <w:rsid w:val="00D51D9B"/>
    <w:rsid w:val="00D51F91"/>
    <w:rsid w:val="00D5283E"/>
    <w:rsid w:val="00D5380D"/>
    <w:rsid w:val="00D5412B"/>
    <w:rsid w:val="00D5416D"/>
    <w:rsid w:val="00D54D1A"/>
    <w:rsid w:val="00D5503B"/>
    <w:rsid w:val="00D563A4"/>
    <w:rsid w:val="00D5662F"/>
    <w:rsid w:val="00D56B17"/>
    <w:rsid w:val="00D601CD"/>
    <w:rsid w:val="00D62504"/>
    <w:rsid w:val="00D629FF"/>
    <w:rsid w:val="00D64CAD"/>
    <w:rsid w:val="00D662A4"/>
    <w:rsid w:val="00D72889"/>
    <w:rsid w:val="00D72913"/>
    <w:rsid w:val="00D749CB"/>
    <w:rsid w:val="00D74A35"/>
    <w:rsid w:val="00D81080"/>
    <w:rsid w:val="00D81775"/>
    <w:rsid w:val="00D8490C"/>
    <w:rsid w:val="00D84D38"/>
    <w:rsid w:val="00D8615A"/>
    <w:rsid w:val="00D87332"/>
    <w:rsid w:val="00D8769A"/>
    <w:rsid w:val="00D90A53"/>
    <w:rsid w:val="00D90F88"/>
    <w:rsid w:val="00D91CA4"/>
    <w:rsid w:val="00D92C4A"/>
    <w:rsid w:val="00D93245"/>
    <w:rsid w:val="00D936E1"/>
    <w:rsid w:val="00D93B7E"/>
    <w:rsid w:val="00D93DA9"/>
    <w:rsid w:val="00D94220"/>
    <w:rsid w:val="00D94AFF"/>
    <w:rsid w:val="00D94C62"/>
    <w:rsid w:val="00D9511C"/>
    <w:rsid w:val="00D96518"/>
    <w:rsid w:val="00D97F2F"/>
    <w:rsid w:val="00DA0664"/>
    <w:rsid w:val="00DA1BFB"/>
    <w:rsid w:val="00DA1FEA"/>
    <w:rsid w:val="00DA220B"/>
    <w:rsid w:val="00DA33B8"/>
    <w:rsid w:val="00DA66CE"/>
    <w:rsid w:val="00DA66E6"/>
    <w:rsid w:val="00DA7B2C"/>
    <w:rsid w:val="00DB0A58"/>
    <w:rsid w:val="00DB0DC7"/>
    <w:rsid w:val="00DB1243"/>
    <w:rsid w:val="00DB1F89"/>
    <w:rsid w:val="00DB222C"/>
    <w:rsid w:val="00DB5471"/>
    <w:rsid w:val="00DB5528"/>
    <w:rsid w:val="00DB5637"/>
    <w:rsid w:val="00DB64C1"/>
    <w:rsid w:val="00DB7117"/>
    <w:rsid w:val="00DB754F"/>
    <w:rsid w:val="00DB7718"/>
    <w:rsid w:val="00DB7931"/>
    <w:rsid w:val="00DC1DE6"/>
    <w:rsid w:val="00DC20DF"/>
    <w:rsid w:val="00DC3E14"/>
    <w:rsid w:val="00DC6E14"/>
    <w:rsid w:val="00DD013E"/>
    <w:rsid w:val="00DD1CBC"/>
    <w:rsid w:val="00DD1EB1"/>
    <w:rsid w:val="00DD1FD8"/>
    <w:rsid w:val="00DD38B4"/>
    <w:rsid w:val="00DD3A9D"/>
    <w:rsid w:val="00DD3DA3"/>
    <w:rsid w:val="00DD5056"/>
    <w:rsid w:val="00DD5D1D"/>
    <w:rsid w:val="00DD691D"/>
    <w:rsid w:val="00DD71C0"/>
    <w:rsid w:val="00DE274F"/>
    <w:rsid w:val="00DE341C"/>
    <w:rsid w:val="00DE38D3"/>
    <w:rsid w:val="00DE39FF"/>
    <w:rsid w:val="00DE3C6C"/>
    <w:rsid w:val="00DE542B"/>
    <w:rsid w:val="00DE61D3"/>
    <w:rsid w:val="00DE6D48"/>
    <w:rsid w:val="00DE6F57"/>
    <w:rsid w:val="00DE76A5"/>
    <w:rsid w:val="00DE77EA"/>
    <w:rsid w:val="00DE7819"/>
    <w:rsid w:val="00DF09E2"/>
    <w:rsid w:val="00DF17E9"/>
    <w:rsid w:val="00DF209E"/>
    <w:rsid w:val="00DF3492"/>
    <w:rsid w:val="00DF4D30"/>
    <w:rsid w:val="00DF52DD"/>
    <w:rsid w:val="00DF6FB6"/>
    <w:rsid w:val="00DF7917"/>
    <w:rsid w:val="00E00145"/>
    <w:rsid w:val="00E00E9D"/>
    <w:rsid w:val="00E041BD"/>
    <w:rsid w:val="00E04880"/>
    <w:rsid w:val="00E049F8"/>
    <w:rsid w:val="00E04B8C"/>
    <w:rsid w:val="00E05289"/>
    <w:rsid w:val="00E07DF6"/>
    <w:rsid w:val="00E109BA"/>
    <w:rsid w:val="00E110FA"/>
    <w:rsid w:val="00E11515"/>
    <w:rsid w:val="00E11D7B"/>
    <w:rsid w:val="00E1277A"/>
    <w:rsid w:val="00E13413"/>
    <w:rsid w:val="00E13942"/>
    <w:rsid w:val="00E14C42"/>
    <w:rsid w:val="00E14DDF"/>
    <w:rsid w:val="00E154BB"/>
    <w:rsid w:val="00E157C8"/>
    <w:rsid w:val="00E15D35"/>
    <w:rsid w:val="00E16913"/>
    <w:rsid w:val="00E177F4"/>
    <w:rsid w:val="00E20AAC"/>
    <w:rsid w:val="00E22255"/>
    <w:rsid w:val="00E22899"/>
    <w:rsid w:val="00E2333B"/>
    <w:rsid w:val="00E24168"/>
    <w:rsid w:val="00E2450F"/>
    <w:rsid w:val="00E25CC4"/>
    <w:rsid w:val="00E269D1"/>
    <w:rsid w:val="00E31142"/>
    <w:rsid w:val="00E312F1"/>
    <w:rsid w:val="00E322F6"/>
    <w:rsid w:val="00E32D11"/>
    <w:rsid w:val="00E33993"/>
    <w:rsid w:val="00E34E35"/>
    <w:rsid w:val="00E350E2"/>
    <w:rsid w:val="00E35C3E"/>
    <w:rsid w:val="00E37873"/>
    <w:rsid w:val="00E37A2C"/>
    <w:rsid w:val="00E37DDA"/>
    <w:rsid w:val="00E406DA"/>
    <w:rsid w:val="00E42191"/>
    <w:rsid w:val="00E42737"/>
    <w:rsid w:val="00E42FA5"/>
    <w:rsid w:val="00E46112"/>
    <w:rsid w:val="00E46B78"/>
    <w:rsid w:val="00E51AAD"/>
    <w:rsid w:val="00E546F0"/>
    <w:rsid w:val="00E563FA"/>
    <w:rsid w:val="00E566E1"/>
    <w:rsid w:val="00E5697A"/>
    <w:rsid w:val="00E56FFB"/>
    <w:rsid w:val="00E572AE"/>
    <w:rsid w:val="00E576A9"/>
    <w:rsid w:val="00E57CA3"/>
    <w:rsid w:val="00E57D61"/>
    <w:rsid w:val="00E57DFA"/>
    <w:rsid w:val="00E60019"/>
    <w:rsid w:val="00E64438"/>
    <w:rsid w:val="00E64C91"/>
    <w:rsid w:val="00E6511C"/>
    <w:rsid w:val="00E652AE"/>
    <w:rsid w:val="00E656F1"/>
    <w:rsid w:val="00E6693A"/>
    <w:rsid w:val="00E67C5B"/>
    <w:rsid w:val="00E7142F"/>
    <w:rsid w:val="00E7198F"/>
    <w:rsid w:val="00E72CE7"/>
    <w:rsid w:val="00E73314"/>
    <w:rsid w:val="00E73A3C"/>
    <w:rsid w:val="00E74644"/>
    <w:rsid w:val="00E75A1A"/>
    <w:rsid w:val="00E7693B"/>
    <w:rsid w:val="00E76EEB"/>
    <w:rsid w:val="00E80B87"/>
    <w:rsid w:val="00E80F67"/>
    <w:rsid w:val="00E82E2D"/>
    <w:rsid w:val="00E83611"/>
    <w:rsid w:val="00E84251"/>
    <w:rsid w:val="00E852F1"/>
    <w:rsid w:val="00E857BF"/>
    <w:rsid w:val="00E862B5"/>
    <w:rsid w:val="00E86568"/>
    <w:rsid w:val="00E86F4C"/>
    <w:rsid w:val="00E90DB4"/>
    <w:rsid w:val="00E92949"/>
    <w:rsid w:val="00E949EB"/>
    <w:rsid w:val="00E9645A"/>
    <w:rsid w:val="00E96BC3"/>
    <w:rsid w:val="00EA1B17"/>
    <w:rsid w:val="00EA2BD1"/>
    <w:rsid w:val="00EA465C"/>
    <w:rsid w:val="00EA587D"/>
    <w:rsid w:val="00EA669B"/>
    <w:rsid w:val="00EB0011"/>
    <w:rsid w:val="00EB1CA7"/>
    <w:rsid w:val="00EB3157"/>
    <w:rsid w:val="00EB3D63"/>
    <w:rsid w:val="00EB4311"/>
    <w:rsid w:val="00EB4527"/>
    <w:rsid w:val="00EB4A7C"/>
    <w:rsid w:val="00EB54EF"/>
    <w:rsid w:val="00EB5836"/>
    <w:rsid w:val="00EB6370"/>
    <w:rsid w:val="00EB648B"/>
    <w:rsid w:val="00EB7CB0"/>
    <w:rsid w:val="00EC00E2"/>
    <w:rsid w:val="00EC02AD"/>
    <w:rsid w:val="00EC0953"/>
    <w:rsid w:val="00EC0AEB"/>
    <w:rsid w:val="00EC154F"/>
    <w:rsid w:val="00EC1842"/>
    <w:rsid w:val="00EC2D70"/>
    <w:rsid w:val="00EC3188"/>
    <w:rsid w:val="00EC325B"/>
    <w:rsid w:val="00EC33CA"/>
    <w:rsid w:val="00EC37F7"/>
    <w:rsid w:val="00EC3B1C"/>
    <w:rsid w:val="00EC3E9A"/>
    <w:rsid w:val="00EC45CA"/>
    <w:rsid w:val="00EC501D"/>
    <w:rsid w:val="00EC5022"/>
    <w:rsid w:val="00EC5824"/>
    <w:rsid w:val="00EC60C7"/>
    <w:rsid w:val="00ED0BCE"/>
    <w:rsid w:val="00ED0EB2"/>
    <w:rsid w:val="00ED1B37"/>
    <w:rsid w:val="00ED395E"/>
    <w:rsid w:val="00ED3BF4"/>
    <w:rsid w:val="00ED4572"/>
    <w:rsid w:val="00ED678C"/>
    <w:rsid w:val="00ED6935"/>
    <w:rsid w:val="00ED6948"/>
    <w:rsid w:val="00EE0699"/>
    <w:rsid w:val="00EE0FDA"/>
    <w:rsid w:val="00EE15CD"/>
    <w:rsid w:val="00EE1AC9"/>
    <w:rsid w:val="00EE1EA6"/>
    <w:rsid w:val="00EE3457"/>
    <w:rsid w:val="00EE34B4"/>
    <w:rsid w:val="00EE438E"/>
    <w:rsid w:val="00EE5614"/>
    <w:rsid w:val="00EE574D"/>
    <w:rsid w:val="00EE691C"/>
    <w:rsid w:val="00EE699D"/>
    <w:rsid w:val="00EF0F5B"/>
    <w:rsid w:val="00EF36AB"/>
    <w:rsid w:val="00EF3B09"/>
    <w:rsid w:val="00EF4C99"/>
    <w:rsid w:val="00EF5181"/>
    <w:rsid w:val="00EF5F70"/>
    <w:rsid w:val="00EF66B5"/>
    <w:rsid w:val="00EF6F75"/>
    <w:rsid w:val="00EF7F90"/>
    <w:rsid w:val="00F0063D"/>
    <w:rsid w:val="00F00D35"/>
    <w:rsid w:val="00F0228D"/>
    <w:rsid w:val="00F030C6"/>
    <w:rsid w:val="00F043E6"/>
    <w:rsid w:val="00F04E2C"/>
    <w:rsid w:val="00F0581B"/>
    <w:rsid w:val="00F05FE0"/>
    <w:rsid w:val="00F0780D"/>
    <w:rsid w:val="00F10366"/>
    <w:rsid w:val="00F108DF"/>
    <w:rsid w:val="00F11A98"/>
    <w:rsid w:val="00F11EFB"/>
    <w:rsid w:val="00F12CBB"/>
    <w:rsid w:val="00F12D3E"/>
    <w:rsid w:val="00F14495"/>
    <w:rsid w:val="00F149D4"/>
    <w:rsid w:val="00F14F36"/>
    <w:rsid w:val="00F158B9"/>
    <w:rsid w:val="00F15D8D"/>
    <w:rsid w:val="00F21D9C"/>
    <w:rsid w:val="00F2584B"/>
    <w:rsid w:val="00F26C68"/>
    <w:rsid w:val="00F26E60"/>
    <w:rsid w:val="00F30CD0"/>
    <w:rsid w:val="00F3144F"/>
    <w:rsid w:val="00F3319F"/>
    <w:rsid w:val="00F33B1E"/>
    <w:rsid w:val="00F34027"/>
    <w:rsid w:val="00F37283"/>
    <w:rsid w:val="00F40D0D"/>
    <w:rsid w:val="00F41CCA"/>
    <w:rsid w:val="00F42046"/>
    <w:rsid w:val="00F42FDA"/>
    <w:rsid w:val="00F4399E"/>
    <w:rsid w:val="00F43DC7"/>
    <w:rsid w:val="00F43FBB"/>
    <w:rsid w:val="00F444DD"/>
    <w:rsid w:val="00F446B1"/>
    <w:rsid w:val="00F45200"/>
    <w:rsid w:val="00F45999"/>
    <w:rsid w:val="00F45DD9"/>
    <w:rsid w:val="00F47F93"/>
    <w:rsid w:val="00F528E0"/>
    <w:rsid w:val="00F5348B"/>
    <w:rsid w:val="00F53C23"/>
    <w:rsid w:val="00F55559"/>
    <w:rsid w:val="00F5614C"/>
    <w:rsid w:val="00F5624A"/>
    <w:rsid w:val="00F563E5"/>
    <w:rsid w:val="00F56B99"/>
    <w:rsid w:val="00F56EFC"/>
    <w:rsid w:val="00F601F1"/>
    <w:rsid w:val="00F60375"/>
    <w:rsid w:val="00F6243F"/>
    <w:rsid w:val="00F62EB9"/>
    <w:rsid w:val="00F63C5D"/>
    <w:rsid w:val="00F641A5"/>
    <w:rsid w:val="00F641BA"/>
    <w:rsid w:val="00F64925"/>
    <w:rsid w:val="00F64A37"/>
    <w:rsid w:val="00F65048"/>
    <w:rsid w:val="00F708B8"/>
    <w:rsid w:val="00F70EA6"/>
    <w:rsid w:val="00F71B5C"/>
    <w:rsid w:val="00F721CF"/>
    <w:rsid w:val="00F72630"/>
    <w:rsid w:val="00F76614"/>
    <w:rsid w:val="00F7776D"/>
    <w:rsid w:val="00F77DA4"/>
    <w:rsid w:val="00F800C4"/>
    <w:rsid w:val="00F805C5"/>
    <w:rsid w:val="00F81E44"/>
    <w:rsid w:val="00F82625"/>
    <w:rsid w:val="00F84A8F"/>
    <w:rsid w:val="00F84D25"/>
    <w:rsid w:val="00F85391"/>
    <w:rsid w:val="00F85D7A"/>
    <w:rsid w:val="00F863B3"/>
    <w:rsid w:val="00F86CFF"/>
    <w:rsid w:val="00F87AE1"/>
    <w:rsid w:val="00F93E12"/>
    <w:rsid w:val="00F93EF3"/>
    <w:rsid w:val="00F946BE"/>
    <w:rsid w:val="00F946CC"/>
    <w:rsid w:val="00F948E1"/>
    <w:rsid w:val="00F96468"/>
    <w:rsid w:val="00F9654F"/>
    <w:rsid w:val="00F97053"/>
    <w:rsid w:val="00F97345"/>
    <w:rsid w:val="00F9791B"/>
    <w:rsid w:val="00F97957"/>
    <w:rsid w:val="00F97A9E"/>
    <w:rsid w:val="00FA0156"/>
    <w:rsid w:val="00FA10B8"/>
    <w:rsid w:val="00FA2E14"/>
    <w:rsid w:val="00FA4827"/>
    <w:rsid w:val="00FA77C4"/>
    <w:rsid w:val="00FA7926"/>
    <w:rsid w:val="00FB0A32"/>
    <w:rsid w:val="00FB1870"/>
    <w:rsid w:val="00FB192B"/>
    <w:rsid w:val="00FB1BA5"/>
    <w:rsid w:val="00FB3313"/>
    <w:rsid w:val="00FB536C"/>
    <w:rsid w:val="00FB548D"/>
    <w:rsid w:val="00FB5DD4"/>
    <w:rsid w:val="00FB5F08"/>
    <w:rsid w:val="00FB74FE"/>
    <w:rsid w:val="00FC026B"/>
    <w:rsid w:val="00FC089D"/>
    <w:rsid w:val="00FC3333"/>
    <w:rsid w:val="00FC36FD"/>
    <w:rsid w:val="00FC3846"/>
    <w:rsid w:val="00FC419F"/>
    <w:rsid w:val="00FC4E23"/>
    <w:rsid w:val="00FC4EA8"/>
    <w:rsid w:val="00FC53C7"/>
    <w:rsid w:val="00FC5952"/>
    <w:rsid w:val="00FC5E23"/>
    <w:rsid w:val="00FD1256"/>
    <w:rsid w:val="00FD159C"/>
    <w:rsid w:val="00FD2333"/>
    <w:rsid w:val="00FD2B6D"/>
    <w:rsid w:val="00FD2D2F"/>
    <w:rsid w:val="00FD6158"/>
    <w:rsid w:val="00FD69E6"/>
    <w:rsid w:val="00FD6E8E"/>
    <w:rsid w:val="00FE2AB3"/>
    <w:rsid w:val="00FE2CDA"/>
    <w:rsid w:val="00FE33AA"/>
    <w:rsid w:val="00FE505A"/>
    <w:rsid w:val="00FE5135"/>
    <w:rsid w:val="00FE566D"/>
    <w:rsid w:val="00FE71CA"/>
    <w:rsid w:val="00FF12E6"/>
    <w:rsid w:val="00FF132E"/>
    <w:rsid w:val="00FF1821"/>
    <w:rsid w:val="00FF1942"/>
    <w:rsid w:val="00FF1B68"/>
    <w:rsid w:val="00FF20D0"/>
    <w:rsid w:val="00FF2886"/>
    <w:rsid w:val="00FF2A3E"/>
    <w:rsid w:val="00FF4958"/>
    <w:rsid w:val="00FF503C"/>
    <w:rsid w:val="00FF5F21"/>
    <w:rsid w:val="00FF6E39"/>
    <w:rsid w:val="00FF6E7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4B168"/>
  <w15:docId w15:val="{F6A9944C-96CB-40A2-B3C8-5FCF63E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Fundamentacion,paul2,Footnote,Fase,BULLET Liste,Premier"/>
    <w:basedOn w:val="Normal"/>
    <w:link w:val="PrrafodelistaCar"/>
    <w:uiPriority w:val="34"/>
    <w:qFormat/>
    <w:rsid w:val="002F2CD1"/>
    <w:pPr>
      <w:ind w:left="720"/>
      <w:contextualSpacing/>
    </w:pPr>
  </w:style>
  <w:style w:type="paragraph" w:customStyle="1" w:styleId="ecxmsolistparagraph">
    <w:name w:val="ecxmsolistparagraph"/>
    <w:basedOn w:val="Normal"/>
    <w:rsid w:val="000A5C9D"/>
    <w:pPr>
      <w:spacing w:after="324" w:line="240" w:lineRule="auto"/>
    </w:pPr>
    <w:rPr>
      <w:rFonts w:ascii="Times New Roman" w:eastAsia="Times New Roman" w:hAnsi="Times New Roman" w:cs="Times New Roman"/>
      <w:sz w:val="24"/>
      <w:szCs w:val="24"/>
      <w:lang w:val="es-ES" w:eastAsia="es-ES"/>
    </w:rPr>
  </w:style>
  <w:style w:type="paragraph" w:styleId="Textonotapie">
    <w:name w:val="footnote text"/>
    <w:aliases w:val=" Car,Texto nota pie Car Car Car,FOOTNOTES,fn,single space,Footnote Text Char Char Char,Footnote Text1 Char,Footnote Text2,Footnote Text Char Char Char1 Char,Footnote Text Char Char Char1,ft,ADB,ADB Car,Car,5_G,Texto nota piepddes Car Car"/>
    <w:basedOn w:val="Normal"/>
    <w:link w:val="TextonotapieCar"/>
    <w:uiPriority w:val="99"/>
    <w:unhideWhenUsed/>
    <w:qFormat/>
    <w:rsid w:val="00CD3F25"/>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 Car Car,Texto nota pie Car Car Car Car,FOOTNOTES Car,fn Car,single space Car,Footnote Text Char Char Char Car,Footnote Text1 Char Car,Footnote Text2 Car,Footnote Text Char Char Char1 Char Car,Footnote Text Char Char Char1 Car,ft Car"/>
    <w:basedOn w:val="Fuentedeprrafopredeter"/>
    <w:link w:val="Textonotapie"/>
    <w:uiPriority w:val="99"/>
    <w:rsid w:val="00CD3F25"/>
    <w:rPr>
      <w:rFonts w:ascii="Calibri" w:eastAsia="Calibri" w:hAnsi="Calibri" w:cs="Times New Roman"/>
      <w:sz w:val="20"/>
      <w:szCs w:val="20"/>
      <w:lang w:val="x-none" w:eastAsia="x-none"/>
    </w:rPr>
  </w:style>
  <w:style w:type="character" w:styleId="Refdenotaalpie">
    <w:name w:val="footnote reference"/>
    <w:aliases w:val="Footnotes refss,4_G,Ref,de nota al pie,pie pddes,Ref. de nota al pie EDEP,ftref,Pie de Página APA,Footnote Refernece,Appel note de bas de p.,Footnote Ref,16 Point,Superscript 6 Point,Footnote number,BVI fnr,BVI fnr Car Car,f Car1"/>
    <w:link w:val="BVIfnrCar1CarCarCarCar"/>
    <w:uiPriority w:val="99"/>
    <w:unhideWhenUsed/>
    <w:qFormat/>
    <w:rsid w:val="00CD3F25"/>
    <w:rPr>
      <w:vertAlign w:val="superscript"/>
    </w:rPr>
  </w:style>
  <w:style w:type="character" w:customStyle="1" w:styleId="apple-converted-space">
    <w:name w:val="apple-converted-space"/>
    <w:basedOn w:val="Fuentedeprrafopredeter"/>
    <w:rsid w:val="00CD3F25"/>
  </w:style>
  <w:style w:type="paragraph" w:styleId="Encabezado">
    <w:name w:val="header"/>
    <w:basedOn w:val="Normal"/>
    <w:link w:val="EncabezadoCar"/>
    <w:uiPriority w:val="99"/>
    <w:unhideWhenUsed/>
    <w:rsid w:val="003C40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0A1"/>
  </w:style>
  <w:style w:type="paragraph" w:styleId="Piedepgina">
    <w:name w:val="footer"/>
    <w:basedOn w:val="Normal"/>
    <w:link w:val="PiedepginaCar"/>
    <w:uiPriority w:val="99"/>
    <w:unhideWhenUsed/>
    <w:rsid w:val="003C40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40A1"/>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F77DA4"/>
    <w:pPr>
      <w:spacing w:before="200" w:after="160" w:line="240" w:lineRule="exact"/>
    </w:pPr>
    <w:rPr>
      <w:vertAlign w:val="superscript"/>
    </w:rPr>
  </w:style>
  <w:style w:type="paragraph" w:customStyle="1" w:styleId="SingleTxt">
    <w:name w:val="__Single Txt"/>
    <w:basedOn w:val="Normal"/>
    <w:qFormat/>
    <w:rsid w:val="004C2B4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lang w:val="es-ES"/>
    </w:rPr>
  </w:style>
  <w:style w:type="character" w:customStyle="1" w:styleId="PrrafodelistaCar">
    <w:name w:val="Párrafo de lista Car"/>
    <w:aliases w:val="Superíndice Car,Fundamentacion Car,paul2 Car,Footnote Car,Fase Car,BULLET Liste Car,Premier Car"/>
    <w:link w:val="Prrafodelista"/>
    <w:uiPriority w:val="34"/>
    <w:rsid w:val="001C0190"/>
  </w:style>
  <w:style w:type="paragraph" w:customStyle="1" w:styleId="BVIfnrCarCar1CarCarCar">
    <w:name w:val="BVI fnr Car Car1 Car Car Car"/>
    <w:aliases w:val="BVI fnr Car Car Car Car1 Car Car Car,BVI fnr Car Car Car Car1 Car1 Car,BVI fnr Car Car Car Car Car Car Car Car Car,BVI fnr Car Car Car Car1 Car Car Car Car Car, BVI fnr Car Car Car Car1 Car Car Car"/>
    <w:basedOn w:val="Normal"/>
    <w:uiPriority w:val="99"/>
    <w:rsid w:val="00FD2D2F"/>
    <w:pPr>
      <w:spacing w:after="160" w:line="240" w:lineRule="exact"/>
    </w:pPr>
    <w:rPr>
      <w:sz w:val="24"/>
      <w:szCs w:val="24"/>
      <w:vertAlign w:val="superscript"/>
      <w:lang w:val="es-CO"/>
    </w:rPr>
  </w:style>
  <w:style w:type="paragraph" w:customStyle="1" w:styleId="yiv8910570348msonormal">
    <w:name w:val="yiv8910570348msonormal"/>
    <w:basedOn w:val="Normal"/>
    <w:rsid w:val="00F62EB9"/>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Textodeglobo">
    <w:name w:val="Balloon Text"/>
    <w:basedOn w:val="Normal"/>
    <w:link w:val="TextodegloboCar"/>
    <w:uiPriority w:val="99"/>
    <w:semiHidden/>
    <w:unhideWhenUsed/>
    <w:rsid w:val="00D453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38B"/>
    <w:rPr>
      <w:rFonts w:ascii="Segoe UI" w:hAnsi="Segoe UI" w:cs="Segoe UI"/>
      <w:sz w:val="18"/>
      <w:szCs w:val="18"/>
    </w:rPr>
  </w:style>
  <w:style w:type="paragraph" w:customStyle="1" w:styleId="SingleTxtG">
    <w:name w:val="_ Single Txt_G"/>
    <w:basedOn w:val="Normal"/>
    <w:link w:val="SingleTxtGChar"/>
    <w:qFormat/>
    <w:rsid w:val="00ED0BCE"/>
    <w:pPr>
      <w:spacing w:after="120" w:line="240" w:lineRule="atLeast"/>
      <w:ind w:left="1134" w:right="1134"/>
      <w:jc w:val="both"/>
    </w:pPr>
    <w:rPr>
      <w:rFonts w:ascii="Times New Roman" w:eastAsiaTheme="minorEastAsia" w:hAnsi="Times New Roman" w:cs="Times New Roman"/>
      <w:sz w:val="20"/>
      <w:szCs w:val="20"/>
      <w:lang w:val="es-ES" w:eastAsia="es-ES"/>
    </w:rPr>
  </w:style>
  <w:style w:type="character" w:customStyle="1" w:styleId="SingleTxtGChar">
    <w:name w:val="_ Single Txt_G Char"/>
    <w:link w:val="SingleTxtG"/>
    <w:rsid w:val="00ED0BCE"/>
    <w:rPr>
      <w:rFonts w:ascii="Times New Roman" w:eastAsiaTheme="minorEastAsia" w:hAnsi="Times New Roman" w:cs="Times New Roman"/>
      <w:sz w:val="20"/>
      <w:szCs w:val="20"/>
      <w:lang w:val="es-ES" w:eastAsia="es-ES"/>
    </w:rPr>
  </w:style>
  <w:style w:type="paragraph" w:customStyle="1" w:styleId="H23">
    <w:name w:val="_ H_2/3"/>
    <w:basedOn w:val="Normal"/>
    <w:next w:val="SingleTxt"/>
    <w:qFormat/>
    <w:rsid w:val="00EB0011"/>
    <w:pPr>
      <w:keepNext/>
      <w:keepLines/>
      <w:suppressAutoHyphens/>
      <w:spacing w:after="0" w:line="240" w:lineRule="exact"/>
      <w:outlineLvl w:val="1"/>
    </w:pPr>
    <w:rPr>
      <w:rFonts w:ascii="Times New Roman" w:hAnsi="Times New Roman" w:cs="Times New Roman"/>
      <w:b/>
      <w:spacing w:val="2"/>
      <w:w w:val="103"/>
      <w:kern w:val="14"/>
      <w:sz w:val="20"/>
      <w:lang w:val="es-ES"/>
    </w:rPr>
  </w:style>
  <w:style w:type="paragraph" w:customStyle="1" w:styleId="H23G">
    <w:name w:val="_ H_2/3_G"/>
    <w:basedOn w:val="Normal"/>
    <w:next w:val="Normal"/>
    <w:link w:val="H23GChar"/>
    <w:qFormat/>
    <w:rsid w:val="00231527"/>
    <w:pPr>
      <w:keepNext/>
      <w:keepLines/>
      <w:tabs>
        <w:tab w:val="right" w:pos="851"/>
      </w:tabs>
      <w:suppressAutoHyphens/>
      <w:spacing w:before="240" w:after="120" w:line="240" w:lineRule="exact"/>
      <w:ind w:left="1134" w:right="1134" w:hanging="1134"/>
    </w:pPr>
    <w:rPr>
      <w:rFonts w:ascii="Times New Roman" w:eastAsiaTheme="minorEastAsia" w:hAnsi="Times New Roman" w:cs="Times New Roman"/>
      <w:b/>
      <w:sz w:val="20"/>
      <w:szCs w:val="20"/>
      <w:lang w:val="es-ES" w:eastAsia="es-ES"/>
    </w:rPr>
  </w:style>
  <w:style w:type="character" w:customStyle="1" w:styleId="H23GChar">
    <w:name w:val="_ H_2/3_G Char"/>
    <w:link w:val="H23G"/>
    <w:locked/>
    <w:rsid w:val="00231527"/>
    <w:rPr>
      <w:rFonts w:ascii="Times New Roman" w:eastAsiaTheme="minorEastAsia" w:hAnsi="Times New Roman" w:cs="Times New Roman"/>
      <w:b/>
      <w:sz w:val="20"/>
      <w:szCs w:val="20"/>
      <w:lang w:val="es-ES" w:eastAsia="es-ES"/>
    </w:rPr>
  </w:style>
  <w:style w:type="paragraph" w:styleId="NormalWeb">
    <w:name w:val="Normal (Web)"/>
    <w:basedOn w:val="Normal"/>
    <w:uiPriority w:val="99"/>
    <w:unhideWhenUsed/>
    <w:rsid w:val="002315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unhideWhenUsed/>
    <w:rsid w:val="00231527"/>
    <w:rPr>
      <w:color w:val="0000FF"/>
      <w:u w:val="single"/>
    </w:rPr>
  </w:style>
  <w:style w:type="character" w:customStyle="1" w:styleId="UnresolvedMention">
    <w:name w:val="Unresolved Mention"/>
    <w:basedOn w:val="Fuentedeprrafopredeter"/>
    <w:uiPriority w:val="99"/>
    <w:semiHidden/>
    <w:unhideWhenUsed/>
    <w:rsid w:val="00D34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otagonistas.cm.org.bo/index.php/investigacion/ver/id/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72131-20BB-4F3A-BE2B-97F6460ED4EA}">
  <ds:schemaRefs>
    <ds:schemaRef ds:uri="http://schemas.openxmlformats.org/officeDocument/2006/bibliography"/>
  </ds:schemaRefs>
</ds:datastoreItem>
</file>

<file path=customXml/itemProps2.xml><?xml version="1.0" encoding="utf-8"?>
<ds:datastoreItem xmlns:ds="http://schemas.openxmlformats.org/officeDocument/2006/customXml" ds:itemID="{6CBE3D80-059D-4419-A21A-43EE7C68D235}"/>
</file>

<file path=customXml/itemProps3.xml><?xml version="1.0" encoding="utf-8"?>
<ds:datastoreItem xmlns:ds="http://schemas.openxmlformats.org/officeDocument/2006/customXml" ds:itemID="{DAE78CA1-CA8A-4E71-9A2B-3F039C51EE3E}"/>
</file>

<file path=customXml/itemProps4.xml><?xml version="1.0" encoding="utf-8"?>
<ds:datastoreItem xmlns:ds="http://schemas.openxmlformats.org/officeDocument/2006/customXml" ds:itemID="{72D1E84D-8C7C-402D-B7AC-7EA067981F90}"/>
</file>

<file path=docProps/app.xml><?xml version="1.0" encoding="utf-8"?>
<Properties xmlns="http://schemas.openxmlformats.org/officeDocument/2006/extended-properties" xmlns:vt="http://schemas.openxmlformats.org/officeDocument/2006/docPropsVTypes">
  <Template>Normal</Template>
  <TotalTime>4</TotalTime>
  <Pages>17</Pages>
  <Words>5766</Words>
  <Characters>31718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Usuario</cp:lastModifiedBy>
  <cp:revision>3</cp:revision>
  <dcterms:created xsi:type="dcterms:W3CDTF">2020-06-14T23:13:00Z</dcterms:created>
  <dcterms:modified xsi:type="dcterms:W3CDTF">2020-06-14T23:29:00Z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