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0855D" w14:textId="6921AC04" w:rsidR="00867264" w:rsidRPr="00F7310E" w:rsidRDefault="00867264" w:rsidP="00F7310E">
      <w:pPr>
        <w:spacing w:after="0" w:line="240" w:lineRule="auto"/>
        <w:jc w:val="center"/>
        <w:rPr>
          <w:rFonts w:ascii="Cambria" w:hAnsi="Cambria"/>
          <w:b/>
        </w:rPr>
      </w:pPr>
      <w:r w:rsidRPr="00F7310E">
        <w:rPr>
          <w:rFonts w:ascii="Cambria" w:hAnsi="Cambria"/>
          <w:noProof/>
        </w:rPr>
        <w:drawing>
          <wp:anchor distT="0" distB="0" distL="114300" distR="114300" simplePos="0" relativeHeight="251659264" behindDoc="0" locked="0" layoutInCell="1" allowOverlap="1" wp14:anchorId="4BD10086" wp14:editId="2C0E042D">
            <wp:simplePos x="0" y="0"/>
            <wp:positionH relativeFrom="column">
              <wp:posOffset>0</wp:posOffset>
            </wp:positionH>
            <wp:positionV relativeFrom="paragraph">
              <wp:posOffset>-635</wp:posOffset>
            </wp:positionV>
            <wp:extent cx="2476500" cy="1077595"/>
            <wp:effectExtent l="0" t="0" r="0" b="8255"/>
            <wp:wrapNone/>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077595"/>
                    </a:xfrm>
                    <a:prstGeom prst="rect">
                      <a:avLst/>
                    </a:prstGeom>
                  </pic:spPr>
                </pic:pic>
              </a:graphicData>
            </a:graphic>
          </wp:anchor>
        </w:drawing>
      </w:r>
      <w:r w:rsidRPr="00F7310E">
        <w:rPr>
          <w:rFonts w:ascii="Cambria" w:hAnsi="Cambria"/>
          <w:noProof/>
        </w:rPr>
        <w:drawing>
          <wp:anchor distT="0" distB="0" distL="114300" distR="114300" simplePos="0" relativeHeight="251660288" behindDoc="0" locked="0" layoutInCell="1" allowOverlap="1" wp14:anchorId="30C2F09D" wp14:editId="41958EB4">
            <wp:simplePos x="0" y="0"/>
            <wp:positionH relativeFrom="column">
              <wp:posOffset>4495800</wp:posOffset>
            </wp:positionH>
            <wp:positionV relativeFrom="paragraph">
              <wp:posOffset>189865</wp:posOffset>
            </wp:positionV>
            <wp:extent cx="1276350" cy="6731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276350" cy="673100"/>
                    </a:xfrm>
                    <a:prstGeom prst="rect">
                      <a:avLst/>
                    </a:prstGeom>
                  </pic:spPr>
                </pic:pic>
              </a:graphicData>
            </a:graphic>
          </wp:anchor>
        </w:drawing>
      </w:r>
    </w:p>
    <w:p w14:paraId="6B3F529A" w14:textId="77777777" w:rsidR="00867264" w:rsidRPr="00F7310E" w:rsidRDefault="00867264" w:rsidP="00F7310E">
      <w:pPr>
        <w:spacing w:after="0" w:line="240" w:lineRule="auto"/>
        <w:jc w:val="center"/>
        <w:rPr>
          <w:rFonts w:ascii="Cambria" w:hAnsi="Cambria"/>
          <w:b/>
        </w:rPr>
      </w:pPr>
    </w:p>
    <w:p w14:paraId="10DB16E7" w14:textId="77777777" w:rsidR="00867264" w:rsidRPr="00F7310E" w:rsidRDefault="00867264" w:rsidP="00F7310E">
      <w:pPr>
        <w:spacing w:after="0" w:line="240" w:lineRule="auto"/>
        <w:jc w:val="center"/>
        <w:rPr>
          <w:rFonts w:ascii="Cambria" w:hAnsi="Cambria"/>
          <w:b/>
        </w:rPr>
      </w:pPr>
    </w:p>
    <w:p w14:paraId="6A09FF87" w14:textId="77777777" w:rsidR="00867264" w:rsidRPr="00F7310E" w:rsidRDefault="00867264" w:rsidP="00F7310E">
      <w:pPr>
        <w:spacing w:after="0" w:line="240" w:lineRule="auto"/>
        <w:jc w:val="center"/>
        <w:rPr>
          <w:rFonts w:ascii="Cambria" w:hAnsi="Cambria"/>
          <w:b/>
        </w:rPr>
      </w:pPr>
    </w:p>
    <w:p w14:paraId="48772F06" w14:textId="77777777" w:rsidR="00867264" w:rsidRPr="00F7310E" w:rsidRDefault="00867264" w:rsidP="00F7310E">
      <w:pPr>
        <w:spacing w:after="0" w:line="240" w:lineRule="auto"/>
        <w:jc w:val="center"/>
        <w:rPr>
          <w:rFonts w:ascii="Cambria" w:hAnsi="Cambria"/>
          <w:b/>
        </w:rPr>
      </w:pPr>
    </w:p>
    <w:p w14:paraId="6FE420B1" w14:textId="77777777" w:rsidR="00867264" w:rsidRPr="00F7310E" w:rsidRDefault="00867264" w:rsidP="00F7310E">
      <w:pPr>
        <w:spacing w:after="0" w:line="240" w:lineRule="auto"/>
        <w:jc w:val="center"/>
        <w:rPr>
          <w:rFonts w:ascii="Cambria" w:hAnsi="Cambria"/>
          <w:b/>
        </w:rPr>
      </w:pPr>
    </w:p>
    <w:p w14:paraId="35347D22" w14:textId="1F53E0CF" w:rsidR="00CE59BF" w:rsidRPr="00F7310E" w:rsidRDefault="00CE59BF" w:rsidP="00F7310E">
      <w:pPr>
        <w:spacing w:after="0" w:line="240" w:lineRule="auto"/>
        <w:jc w:val="center"/>
        <w:rPr>
          <w:rFonts w:ascii="Cambria" w:hAnsi="Cambria"/>
          <w:b/>
        </w:rPr>
      </w:pPr>
      <w:r w:rsidRPr="00F7310E">
        <w:rPr>
          <w:rFonts w:ascii="Cambria" w:hAnsi="Cambria"/>
          <w:b/>
        </w:rPr>
        <w:t xml:space="preserve">Suggestions for the List of Issues Prior to Reporting to be adopted by the </w:t>
      </w:r>
      <w:r w:rsidR="003D6CB5" w:rsidRPr="00F7310E">
        <w:rPr>
          <w:rFonts w:ascii="Cambria" w:hAnsi="Cambria"/>
          <w:b/>
        </w:rPr>
        <w:t>Human Rights Committee</w:t>
      </w:r>
      <w:r w:rsidRPr="00F7310E">
        <w:rPr>
          <w:rFonts w:ascii="Cambria" w:hAnsi="Cambria"/>
          <w:b/>
        </w:rPr>
        <w:t xml:space="preserve"> at its </w:t>
      </w:r>
      <w:r w:rsidR="003D6CB5" w:rsidRPr="00F7310E">
        <w:rPr>
          <w:rFonts w:ascii="Cambria" w:hAnsi="Cambria"/>
          <w:b/>
        </w:rPr>
        <w:t>127</w:t>
      </w:r>
      <w:r w:rsidR="003D6CB5" w:rsidRPr="00F7310E">
        <w:rPr>
          <w:rFonts w:ascii="Cambria" w:hAnsi="Cambria"/>
          <w:b/>
          <w:vertAlign w:val="superscript"/>
        </w:rPr>
        <w:t>th</w:t>
      </w:r>
      <w:r w:rsidR="003D6CB5" w:rsidRPr="00F7310E">
        <w:rPr>
          <w:rFonts w:ascii="Cambria" w:hAnsi="Cambria"/>
          <w:b/>
        </w:rPr>
        <w:t xml:space="preserve"> Session </w:t>
      </w:r>
      <w:r w:rsidRPr="00F7310E">
        <w:rPr>
          <w:rFonts w:ascii="Cambria" w:hAnsi="Cambria"/>
          <w:b/>
        </w:rPr>
        <w:t>in relation to:</w:t>
      </w:r>
    </w:p>
    <w:p w14:paraId="39B163F5" w14:textId="77777777" w:rsidR="00CE59BF" w:rsidRPr="00F7310E" w:rsidRDefault="00CE59BF" w:rsidP="00F7310E">
      <w:pPr>
        <w:spacing w:after="0" w:line="240" w:lineRule="auto"/>
        <w:jc w:val="center"/>
        <w:rPr>
          <w:rFonts w:ascii="Cambria" w:hAnsi="Cambria"/>
          <w:b/>
        </w:rPr>
      </w:pPr>
    </w:p>
    <w:p w14:paraId="65548957" w14:textId="6E275798" w:rsidR="00CE59BF" w:rsidRPr="00F7310E" w:rsidRDefault="006D7D26" w:rsidP="00F7310E">
      <w:pPr>
        <w:spacing w:after="0" w:line="240" w:lineRule="auto"/>
        <w:jc w:val="center"/>
        <w:rPr>
          <w:rFonts w:ascii="Cambria" w:hAnsi="Cambria"/>
          <w:b/>
        </w:rPr>
      </w:pPr>
      <w:r w:rsidRPr="00F7310E">
        <w:rPr>
          <w:rFonts w:ascii="Cambria" w:hAnsi="Cambria"/>
          <w:b/>
        </w:rPr>
        <w:t>Bolivia</w:t>
      </w:r>
    </w:p>
    <w:p w14:paraId="3338C7A4" w14:textId="77777777" w:rsidR="00CE59BF" w:rsidRPr="00F7310E" w:rsidRDefault="00CE59BF" w:rsidP="00F7310E">
      <w:pPr>
        <w:spacing w:after="0" w:line="240" w:lineRule="auto"/>
        <w:jc w:val="both"/>
        <w:rPr>
          <w:rFonts w:ascii="Cambria" w:hAnsi="Cambria"/>
          <w:b/>
          <w:u w:val="single"/>
        </w:rPr>
      </w:pPr>
    </w:p>
    <w:p w14:paraId="20D8B8C1" w14:textId="77777777" w:rsidR="00CE59BF" w:rsidRPr="00F7310E" w:rsidRDefault="00CE59BF" w:rsidP="00F7310E">
      <w:pPr>
        <w:spacing w:after="0" w:line="240" w:lineRule="auto"/>
        <w:jc w:val="both"/>
        <w:rPr>
          <w:rFonts w:ascii="Cambria" w:hAnsi="Cambria"/>
          <w:b/>
          <w:u w:val="single"/>
        </w:rPr>
      </w:pPr>
    </w:p>
    <w:p w14:paraId="2F683557" w14:textId="277BE1EB" w:rsidR="00CE59BF" w:rsidRPr="00F7310E" w:rsidRDefault="00CE59BF" w:rsidP="00F7310E">
      <w:pPr>
        <w:spacing w:after="0" w:line="240" w:lineRule="auto"/>
        <w:jc w:val="both"/>
        <w:rPr>
          <w:rFonts w:ascii="Cambria" w:hAnsi="Cambria"/>
          <w:b/>
          <w:u w:val="single"/>
        </w:rPr>
      </w:pPr>
      <w:r w:rsidRPr="00F7310E">
        <w:rPr>
          <w:rFonts w:ascii="Cambria" w:hAnsi="Cambria"/>
          <w:b/>
          <w:u w:val="single"/>
        </w:rPr>
        <w:t>Statement of Interest</w:t>
      </w:r>
    </w:p>
    <w:p w14:paraId="5696B362" w14:textId="77777777" w:rsidR="009B53C3" w:rsidRPr="00F7310E" w:rsidRDefault="009B53C3" w:rsidP="00F7310E">
      <w:pPr>
        <w:spacing w:after="0" w:line="240" w:lineRule="auto"/>
        <w:jc w:val="both"/>
        <w:rPr>
          <w:rFonts w:ascii="Cambria" w:hAnsi="Cambria"/>
          <w:b/>
          <w:u w:val="single"/>
        </w:rPr>
      </w:pPr>
    </w:p>
    <w:p w14:paraId="51E121EF" w14:textId="08D4E3DD" w:rsidR="00D4220C" w:rsidRPr="00F7310E" w:rsidRDefault="00D4220C" w:rsidP="00F7310E">
      <w:pPr>
        <w:pStyle w:val="ListParagraph"/>
        <w:numPr>
          <w:ilvl w:val="0"/>
          <w:numId w:val="20"/>
        </w:numPr>
        <w:jc w:val="both"/>
        <w:rPr>
          <w:rFonts w:ascii="Cambria" w:hAnsi="Cambria"/>
        </w:rPr>
      </w:pPr>
      <w:r w:rsidRPr="00F7310E">
        <w:rPr>
          <w:rFonts w:ascii="Cambria" w:hAnsi="Cambria"/>
        </w:rPr>
        <w:t xml:space="preserve">The Equal Rights Trust (the Trust) and </w:t>
      </w:r>
      <w:proofErr w:type="spellStart"/>
      <w:r w:rsidRPr="00F7310E">
        <w:rPr>
          <w:rFonts w:ascii="Cambria" w:hAnsi="Cambria"/>
        </w:rPr>
        <w:t>Comunidad</w:t>
      </w:r>
      <w:proofErr w:type="spellEnd"/>
      <w:r w:rsidRPr="00F7310E">
        <w:rPr>
          <w:rFonts w:ascii="Cambria" w:hAnsi="Cambria"/>
        </w:rPr>
        <w:t xml:space="preserve"> de </w:t>
      </w:r>
      <w:proofErr w:type="spellStart"/>
      <w:r w:rsidRPr="00F7310E">
        <w:rPr>
          <w:rFonts w:ascii="Cambria" w:hAnsi="Cambria"/>
        </w:rPr>
        <w:t>Derechos</w:t>
      </w:r>
      <w:proofErr w:type="spellEnd"/>
      <w:r w:rsidRPr="00F7310E">
        <w:rPr>
          <w:rFonts w:ascii="Cambria" w:hAnsi="Cambria"/>
        </w:rPr>
        <w:t xml:space="preserve"> Humanos (</w:t>
      </w:r>
      <w:proofErr w:type="spellStart"/>
      <w:r w:rsidRPr="00F7310E">
        <w:rPr>
          <w:rFonts w:ascii="Cambria" w:hAnsi="Cambria"/>
        </w:rPr>
        <w:t>Comunidad</w:t>
      </w:r>
      <w:proofErr w:type="spellEnd"/>
      <w:r w:rsidRPr="00F7310E">
        <w:rPr>
          <w:rFonts w:ascii="Cambria" w:hAnsi="Cambria"/>
        </w:rPr>
        <w:t xml:space="preserve">) make this submission in order to inform the list of issues prior to reporting by Bolivia, to be adopted by the </w:t>
      </w:r>
      <w:r w:rsidR="003D6CB5" w:rsidRPr="00F7310E">
        <w:rPr>
          <w:rFonts w:ascii="Cambria" w:hAnsi="Cambria"/>
        </w:rPr>
        <w:t>Human Rights Committee</w:t>
      </w:r>
      <w:r w:rsidRPr="00F7310E">
        <w:rPr>
          <w:rFonts w:ascii="Cambria" w:hAnsi="Cambria"/>
        </w:rPr>
        <w:t xml:space="preserve"> (the Committee) at its </w:t>
      </w:r>
      <w:r w:rsidR="003D6CB5" w:rsidRPr="00F7310E">
        <w:rPr>
          <w:rFonts w:ascii="Cambria" w:hAnsi="Cambria"/>
        </w:rPr>
        <w:t>127th Session</w:t>
      </w:r>
      <w:r w:rsidRPr="00F7310E">
        <w:rPr>
          <w:rFonts w:ascii="Cambria" w:hAnsi="Cambria"/>
        </w:rPr>
        <w:t xml:space="preserve">. </w:t>
      </w:r>
    </w:p>
    <w:p w14:paraId="44DFB691" w14:textId="77777777" w:rsidR="00D4220C" w:rsidRPr="00F7310E" w:rsidRDefault="00D4220C" w:rsidP="00F7310E">
      <w:pPr>
        <w:pStyle w:val="ListParagraph"/>
        <w:ind w:left="567"/>
        <w:jc w:val="both"/>
        <w:rPr>
          <w:rFonts w:ascii="Cambria" w:hAnsi="Cambria"/>
        </w:rPr>
      </w:pPr>
    </w:p>
    <w:p w14:paraId="556BA0AE" w14:textId="4ECDA211" w:rsidR="00D4220C" w:rsidRPr="00F7310E" w:rsidRDefault="00D4220C" w:rsidP="00F7310E">
      <w:pPr>
        <w:pStyle w:val="ListParagraph"/>
        <w:numPr>
          <w:ilvl w:val="0"/>
          <w:numId w:val="20"/>
        </w:numPr>
        <w:jc w:val="both"/>
        <w:rPr>
          <w:rFonts w:ascii="Cambria" w:hAnsi="Cambria"/>
        </w:rPr>
      </w:pPr>
      <w:r w:rsidRPr="00F7310E">
        <w:rPr>
          <w:rFonts w:ascii="Cambria" w:hAnsi="Cambria"/>
        </w:rPr>
        <w:t xml:space="preserve">This joint submission has been produced in the context of a three-year initiative funded by the European Union and implemented in Bolivia by the Trust in collaboration with </w:t>
      </w:r>
      <w:proofErr w:type="spellStart"/>
      <w:r w:rsidRPr="00F7310E">
        <w:rPr>
          <w:rFonts w:ascii="Cambria" w:hAnsi="Cambria"/>
        </w:rPr>
        <w:t>Comunidad</w:t>
      </w:r>
      <w:proofErr w:type="spellEnd"/>
      <w:r w:rsidRPr="00F7310E">
        <w:rPr>
          <w:rFonts w:ascii="Cambria" w:hAnsi="Cambria"/>
        </w:rPr>
        <w:t xml:space="preserve">. Our aim is to improve the implementation of Bolivia’s obligations in respect of the rights to equality and non-discrimination in UN human rights Conventions, including the International Covenant on </w:t>
      </w:r>
      <w:r w:rsidR="003D6CB5" w:rsidRPr="00F7310E">
        <w:rPr>
          <w:rFonts w:ascii="Cambria" w:hAnsi="Cambria"/>
        </w:rPr>
        <w:t xml:space="preserve">Civil and Political Rights </w:t>
      </w:r>
      <w:r w:rsidRPr="00F7310E">
        <w:rPr>
          <w:rFonts w:ascii="Cambria" w:hAnsi="Cambria"/>
        </w:rPr>
        <w:t xml:space="preserve">(the Covenant). </w:t>
      </w:r>
    </w:p>
    <w:p w14:paraId="1D002268" w14:textId="77777777" w:rsidR="00D4220C" w:rsidRPr="00F7310E" w:rsidRDefault="00D4220C" w:rsidP="00F7310E">
      <w:pPr>
        <w:pStyle w:val="ListParagraph"/>
        <w:ind w:left="567"/>
        <w:jc w:val="both"/>
        <w:rPr>
          <w:rFonts w:ascii="Cambria" w:hAnsi="Cambria"/>
        </w:rPr>
      </w:pPr>
    </w:p>
    <w:p w14:paraId="2934B88A" w14:textId="45425D5C" w:rsidR="00D4220C" w:rsidRPr="00F7310E" w:rsidRDefault="00D4220C" w:rsidP="00F7310E">
      <w:pPr>
        <w:pStyle w:val="ListParagraph"/>
        <w:numPr>
          <w:ilvl w:val="0"/>
          <w:numId w:val="20"/>
        </w:numPr>
        <w:jc w:val="both"/>
        <w:rPr>
          <w:rFonts w:ascii="Cambria" w:hAnsi="Cambria"/>
        </w:rPr>
      </w:pPr>
      <w:r w:rsidRPr="00F7310E">
        <w:rPr>
          <w:rFonts w:ascii="Cambria" w:hAnsi="Cambria"/>
        </w:rPr>
        <w:t xml:space="preserve">The Trust is an independent international organisation whose mission is to eliminate discrimination and ensure that everyone can participate in society on an equal basis. We work in partnership with equality defenders around the world to secure the adoption and implementation of comprehensive equality laws. Over the last decade, we have supported </w:t>
      </w:r>
      <w:r w:rsidR="003D6CB5" w:rsidRPr="00F7310E">
        <w:rPr>
          <w:rFonts w:ascii="Cambria" w:hAnsi="Cambria"/>
        </w:rPr>
        <w:t>partners in</w:t>
      </w:r>
      <w:r w:rsidRPr="00F7310E">
        <w:rPr>
          <w:rFonts w:ascii="Cambria" w:hAnsi="Cambria"/>
        </w:rPr>
        <w:t xml:space="preserve"> more than 45 countries to combat discrimination and promote equality through law reform and improved implementation. </w:t>
      </w:r>
    </w:p>
    <w:p w14:paraId="669847EB" w14:textId="77777777" w:rsidR="00D4220C" w:rsidRPr="00F7310E" w:rsidRDefault="00D4220C" w:rsidP="00F7310E">
      <w:pPr>
        <w:pStyle w:val="ListParagraph"/>
        <w:ind w:left="567"/>
        <w:jc w:val="both"/>
        <w:rPr>
          <w:rFonts w:ascii="Cambria" w:hAnsi="Cambria"/>
        </w:rPr>
      </w:pPr>
    </w:p>
    <w:p w14:paraId="7B0BEEA4" w14:textId="179944EB" w:rsidR="00D4220C" w:rsidRPr="00F7310E" w:rsidRDefault="00D4220C" w:rsidP="00F7310E">
      <w:pPr>
        <w:pStyle w:val="ListParagraph"/>
        <w:numPr>
          <w:ilvl w:val="0"/>
          <w:numId w:val="20"/>
        </w:numPr>
        <w:jc w:val="both"/>
        <w:rPr>
          <w:rFonts w:ascii="Cambria" w:hAnsi="Cambria"/>
        </w:rPr>
      </w:pPr>
      <w:proofErr w:type="spellStart"/>
      <w:r w:rsidRPr="00F7310E">
        <w:rPr>
          <w:rFonts w:ascii="Cambria" w:hAnsi="Cambria"/>
        </w:rPr>
        <w:t>Comunidad</w:t>
      </w:r>
      <w:proofErr w:type="spellEnd"/>
      <w:r w:rsidRPr="00F7310E">
        <w:rPr>
          <w:rFonts w:ascii="Cambria" w:hAnsi="Cambria"/>
        </w:rPr>
        <w:t xml:space="preserve"> is a network of public and private organisations and institutions working to promote human rights through coordinated actions of its members to strengthen the promotion and protection of human rights in Bolivia. Among other initiatives, it has led the work of la Red Contra el </w:t>
      </w:r>
      <w:proofErr w:type="spellStart"/>
      <w:r w:rsidRPr="00F7310E">
        <w:rPr>
          <w:rFonts w:ascii="Cambria" w:hAnsi="Cambria"/>
        </w:rPr>
        <w:t>Racismo</w:t>
      </w:r>
      <w:proofErr w:type="spellEnd"/>
      <w:r w:rsidRPr="00F7310E">
        <w:rPr>
          <w:rFonts w:ascii="Cambria" w:hAnsi="Cambria"/>
        </w:rPr>
        <w:t xml:space="preserve">, la </w:t>
      </w:r>
      <w:proofErr w:type="spellStart"/>
      <w:r w:rsidRPr="00F7310E">
        <w:rPr>
          <w:rFonts w:ascii="Cambria" w:hAnsi="Cambria"/>
        </w:rPr>
        <w:t>Discriminación</w:t>
      </w:r>
      <w:proofErr w:type="spellEnd"/>
      <w:r w:rsidRPr="00F7310E">
        <w:rPr>
          <w:rFonts w:ascii="Cambria" w:hAnsi="Cambria"/>
        </w:rPr>
        <w:t xml:space="preserve"> y la </w:t>
      </w:r>
      <w:proofErr w:type="spellStart"/>
      <w:r w:rsidRPr="00F7310E">
        <w:rPr>
          <w:rFonts w:ascii="Cambria" w:hAnsi="Cambria"/>
        </w:rPr>
        <w:t>Impunidad</w:t>
      </w:r>
      <w:proofErr w:type="spellEnd"/>
      <w:r w:rsidRPr="00F7310E">
        <w:rPr>
          <w:rFonts w:ascii="Cambria" w:hAnsi="Cambria"/>
        </w:rPr>
        <w:t xml:space="preserve"> (The Network Against Racism, Discrimination and Impunity) and has been a leading advocate for the adoption and implementation of anti-discrimination law in Bolivia. </w:t>
      </w:r>
    </w:p>
    <w:p w14:paraId="348C34CF" w14:textId="77777777" w:rsidR="00862A7B" w:rsidRPr="00F7310E" w:rsidRDefault="00862A7B" w:rsidP="00F7310E">
      <w:pPr>
        <w:spacing w:after="0" w:line="240" w:lineRule="auto"/>
        <w:jc w:val="both"/>
        <w:rPr>
          <w:rFonts w:ascii="Cambria" w:hAnsi="Cambria"/>
          <w:b/>
          <w:u w:val="single"/>
        </w:rPr>
      </w:pPr>
    </w:p>
    <w:p w14:paraId="01D2C0CB" w14:textId="77777777" w:rsidR="00862A7B" w:rsidRPr="00F7310E" w:rsidRDefault="00862A7B" w:rsidP="00F7310E">
      <w:pPr>
        <w:spacing w:after="0" w:line="240" w:lineRule="auto"/>
        <w:jc w:val="both"/>
        <w:rPr>
          <w:rFonts w:ascii="Cambria" w:hAnsi="Cambria"/>
          <w:b/>
          <w:u w:val="single"/>
        </w:rPr>
      </w:pPr>
      <w:r w:rsidRPr="00F7310E">
        <w:rPr>
          <w:rFonts w:ascii="Cambria" w:hAnsi="Cambria"/>
          <w:b/>
          <w:u w:val="single"/>
        </w:rPr>
        <w:t xml:space="preserve">Article 2(1) and 26: The Legal Framework </w:t>
      </w:r>
    </w:p>
    <w:p w14:paraId="5CC605EB" w14:textId="77777777" w:rsidR="00862A7B" w:rsidRPr="00F7310E" w:rsidRDefault="00862A7B" w:rsidP="00F7310E">
      <w:pPr>
        <w:pStyle w:val="ListParagraph"/>
        <w:rPr>
          <w:rFonts w:ascii="Cambria" w:hAnsi="Cambria"/>
        </w:rPr>
      </w:pPr>
    </w:p>
    <w:p w14:paraId="4DD55226" w14:textId="3C552659" w:rsidR="00862A7B" w:rsidRPr="00F7310E" w:rsidRDefault="00862A7B" w:rsidP="00F7310E">
      <w:pPr>
        <w:pStyle w:val="ListParagraph"/>
        <w:numPr>
          <w:ilvl w:val="0"/>
          <w:numId w:val="20"/>
        </w:numPr>
        <w:jc w:val="both"/>
        <w:rPr>
          <w:rFonts w:ascii="Cambria" w:hAnsi="Cambria"/>
        </w:rPr>
      </w:pPr>
      <w:r w:rsidRPr="00F7310E">
        <w:rPr>
          <w:rFonts w:ascii="Cambria" w:hAnsi="Cambria"/>
        </w:rPr>
        <w:t xml:space="preserve">This joint submission focuses on the extent to which Bolivia has met its obligations to respect, protect and fulfil the right to non-discrimination. Thus, the submission is concerned with </w:t>
      </w:r>
      <w:r w:rsidR="00B654B4" w:rsidRPr="00F7310E">
        <w:rPr>
          <w:rFonts w:ascii="Cambria" w:hAnsi="Cambria"/>
        </w:rPr>
        <w:t xml:space="preserve">Bolivia’s </w:t>
      </w:r>
      <w:r w:rsidRPr="00F7310E">
        <w:rPr>
          <w:rFonts w:ascii="Cambria" w:hAnsi="Cambria"/>
        </w:rPr>
        <w:t>performance under two articles of the Covenant: Article 2(1), which requires that states parties respect and ensure the enjoyment of the rights provided in the Covenant without distinction and Article 26, which, as the Committee has stated, provides an “autonomous right”</w:t>
      </w:r>
      <w:r w:rsidRPr="00F7310E">
        <w:rPr>
          <w:rStyle w:val="FootnoteReference"/>
          <w:rFonts w:ascii="Cambria" w:hAnsi="Cambria"/>
        </w:rPr>
        <w:footnoteReference w:id="1"/>
      </w:r>
      <w:r w:rsidRPr="00F7310E">
        <w:rPr>
          <w:rFonts w:ascii="Cambria" w:hAnsi="Cambria"/>
        </w:rPr>
        <w:t xml:space="preserve"> to non-discrimination. The recommendations made in this submission focus specifically on measures required to bring Bolivia’s law, policy and practice in line with its </w:t>
      </w:r>
      <w:r w:rsidR="004C3690" w:rsidRPr="00F7310E">
        <w:rPr>
          <w:rFonts w:ascii="Cambria" w:hAnsi="Cambria"/>
        </w:rPr>
        <w:t xml:space="preserve">non-discrimination </w:t>
      </w:r>
      <w:r w:rsidRPr="00F7310E">
        <w:rPr>
          <w:rFonts w:ascii="Cambria" w:hAnsi="Cambria"/>
        </w:rPr>
        <w:t xml:space="preserve">obligations arising under the Covenant. The submission presents evidence collected in the development of a study on the extent to which Bolivia’s comprehensive anti-discrimination law – Ley Contra el </w:t>
      </w:r>
      <w:proofErr w:type="spellStart"/>
      <w:r w:rsidRPr="00F7310E">
        <w:rPr>
          <w:rFonts w:ascii="Cambria" w:hAnsi="Cambria"/>
        </w:rPr>
        <w:t>Racismo</w:t>
      </w:r>
      <w:proofErr w:type="spellEnd"/>
      <w:r w:rsidRPr="00F7310E">
        <w:rPr>
          <w:rFonts w:ascii="Cambria" w:hAnsi="Cambria"/>
        </w:rPr>
        <w:t xml:space="preserve"> y Toda Forma de Discriminación (Ley 045 of 2010) – has been effectively implemented and enforced. </w:t>
      </w:r>
    </w:p>
    <w:p w14:paraId="66F61B58" w14:textId="77777777" w:rsidR="00862A7B" w:rsidRPr="00F7310E" w:rsidRDefault="00862A7B" w:rsidP="00F7310E">
      <w:pPr>
        <w:pStyle w:val="ListParagraph"/>
        <w:ind w:left="567"/>
        <w:jc w:val="both"/>
        <w:rPr>
          <w:rFonts w:ascii="Cambria" w:hAnsi="Cambria"/>
        </w:rPr>
      </w:pPr>
    </w:p>
    <w:p w14:paraId="44FAF50A" w14:textId="75B54E5B" w:rsidR="00862A7B" w:rsidRPr="00F7310E" w:rsidRDefault="00862A7B" w:rsidP="00F7310E">
      <w:pPr>
        <w:pStyle w:val="ListParagraph"/>
        <w:numPr>
          <w:ilvl w:val="0"/>
          <w:numId w:val="20"/>
        </w:numPr>
        <w:jc w:val="both"/>
        <w:rPr>
          <w:rFonts w:ascii="Cambria" w:hAnsi="Cambria"/>
        </w:rPr>
      </w:pPr>
      <w:r w:rsidRPr="00F7310E">
        <w:rPr>
          <w:rFonts w:ascii="Cambria" w:hAnsi="Cambria"/>
        </w:rPr>
        <w:lastRenderedPageBreak/>
        <w:t xml:space="preserve">In assessing Bolivia’s compliance with its obligations under Articles 2(1) and 26 of the Covenant, this submission relies, in part, on the interpretation of these provisions which has been provided by the Committee in its General Comment No. 18. </w:t>
      </w:r>
      <w:proofErr w:type="gramStart"/>
      <w:r w:rsidRPr="00F7310E">
        <w:rPr>
          <w:rFonts w:ascii="Cambria" w:hAnsi="Cambria"/>
        </w:rPr>
        <w:t>In particular, we</w:t>
      </w:r>
      <w:proofErr w:type="gramEnd"/>
      <w:r w:rsidRPr="00F7310E">
        <w:rPr>
          <w:rFonts w:ascii="Cambria" w:hAnsi="Cambria"/>
        </w:rPr>
        <w:t xml:space="preserve"> hope that this submission will respond to the Committee's wish to be informed of the existence of discrimination in fact and about “legal provisions and administrative measures directed at diminishing or eliminating such discrimination”.</w:t>
      </w:r>
      <w:r w:rsidRPr="00F7310E">
        <w:rPr>
          <w:rStyle w:val="FootnoteReference"/>
          <w:rFonts w:ascii="Cambria" w:hAnsi="Cambria"/>
        </w:rPr>
        <w:footnoteReference w:id="2"/>
      </w:r>
    </w:p>
    <w:p w14:paraId="6A976C74" w14:textId="77777777" w:rsidR="00862A7B" w:rsidRPr="00F7310E" w:rsidRDefault="00862A7B" w:rsidP="00F7310E">
      <w:pPr>
        <w:pStyle w:val="ListParagraph"/>
        <w:rPr>
          <w:rFonts w:ascii="Cambria" w:hAnsi="Cambria"/>
        </w:rPr>
      </w:pPr>
    </w:p>
    <w:p w14:paraId="2A0BA0D6" w14:textId="29ACF8C7" w:rsidR="00862A7B" w:rsidRPr="00F7310E" w:rsidRDefault="00862A7B" w:rsidP="00F7310E">
      <w:pPr>
        <w:pStyle w:val="ListParagraph"/>
        <w:numPr>
          <w:ilvl w:val="0"/>
          <w:numId w:val="20"/>
        </w:numPr>
        <w:jc w:val="both"/>
        <w:rPr>
          <w:rFonts w:ascii="Cambria" w:hAnsi="Cambria"/>
        </w:rPr>
      </w:pPr>
      <w:r w:rsidRPr="00F7310E">
        <w:rPr>
          <w:rFonts w:ascii="Cambria" w:hAnsi="Cambria"/>
        </w:rPr>
        <w:t>This submission also relies upon the Declaration of Principles on Equality (the Declaration),</w:t>
      </w:r>
      <w:r w:rsidRPr="00F7310E">
        <w:rPr>
          <w:rStyle w:val="FootnoteReference"/>
          <w:rFonts w:ascii="Cambria" w:hAnsi="Cambria"/>
        </w:rPr>
        <w:footnoteReference w:id="3"/>
      </w:r>
      <w:r w:rsidRPr="00F7310E">
        <w:rPr>
          <w:rFonts w:ascii="Cambria" w:hAnsi="Cambria"/>
        </w:rPr>
        <w:t xml:space="preserve"> a document of international best practice on equality. The Declaration was drafted and adopted in 2008 by 128 prominent human rights and equality advocates and experts and has been described as “the current international understanding of Principles on Equality”.</w:t>
      </w:r>
      <w:bookmarkStart w:id="0" w:name="_Hlk18941370"/>
      <w:r w:rsidRPr="00F7310E">
        <w:rPr>
          <w:rStyle w:val="FootnoteReference"/>
          <w:rFonts w:ascii="Cambria" w:hAnsi="Cambria"/>
        </w:rPr>
        <w:footnoteReference w:id="4"/>
      </w:r>
      <w:bookmarkEnd w:id="0"/>
      <w:r w:rsidRPr="00F7310E">
        <w:rPr>
          <w:rFonts w:ascii="Cambria" w:hAnsi="Cambria"/>
        </w:rPr>
        <w:t xml:space="preserve"> </w:t>
      </w:r>
    </w:p>
    <w:p w14:paraId="545B8485" w14:textId="77777777" w:rsidR="00D4220C" w:rsidRPr="00F7310E" w:rsidRDefault="00D4220C" w:rsidP="00F7310E">
      <w:pPr>
        <w:pStyle w:val="ListParagraph"/>
        <w:ind w:left="567" w:hanging="567"/>
        <w:jc w:val="both"/>
        <w:rPr>
          <w:rFonts w:ascii="Cambria" w:hAnsi="Cambria"/>
          <w:i/>
          <w:iCs/>
        </w:rPr>
      </w:pPr>
    </w:p>
    <w:p w14:paraId="55F7D209" w14:textId="4154D14B" w:rsidR="00D4220C" w:rsidRPr="00F7310E" w:rsidRDefault="00D4220C" w:rsidP="00F7310E">
      <w:pPr>
        <w:pStyle w:val="ListParagraph"/>
        <w:numPr>
          <w:ilvl w:val="0"/>
          <w:numId w:val="20"/>
        </w:numPr>
        <w:jc w:val="both"/>
        <w:rPr>
          <w:rFonts w:ascii="Cambria" w:hAnsi="Cambria"/>
          <w:i/>
          <w:iCs/>
        </w:rPr>
      </w:pPr>
      <w:r w:rsidRPr="00F7310E">
        <w:rPr>
          <w:rFonts w:ascii="Cambria" w:hAnsi="Cambria"/>
        </w:rPr>
        <w:t xml:space="preserve">Pursuant to </w:t>
      </w:r>
      <w:r w:rsidR="00862A7B" w:rsidRPr="00F7310E">
        <w:rPr>
          <w:rFonts w:ascii="Cambria" w:hAnsi="Cambria"/>
        </w:rPr>
        <w:t>its</w:t>
      </w:r>
      <w:r w:rsidRPr="00F7310E">
        <w:rPr>
          <w:rFonts w:ascii="Cambria" w:hAnsi="Cambria"/>
        </w:rPr>
        <w:t xml:space="preserve"> obligation</w:t>
      </w:r>
      <w:r w:rsidR="003B5A15" w:rsidRPr="00F7310E">
        <w:rPr>
          <w:rFonts w:ascii="Cambria" w:hAnsi="Cambria"/>
        </w:rPr>
        <w:t>s</w:t>
      </w:r>
      <w:r w:rsidR="00862A7B" w:rsidRPr="00F7310E">
        <w:rPr>
          <w:rFonts w:ascii="Cambria" w:hAnsi="Cambria"/>
        </w:rPr>
        <w:t xml:space="preserve"> under the Covenant</w:t>
      </w:r>
      <w:r w:rsidRPr="00F7310E">
        <w:rPr>
          <w:rFonts w:ascii="Cambria" w:hAnsi="Cambria"/>
        </w:rPr>
        <w:t>, in 2010, Bolivia adopted Law 045 of 2010 Against Racism and All Forms of Discrimination (Law 045)</w:t>
      </w:r>
      <w:r w:rsidRPr="00F7310E">
        <w:rPr>
          <w:rFonts w:ascii="Cambria" w:hAnsi="Cambria"/>
          <w:i/>
          <w:iCs/>
        </w:rPr>
        <w:t xml:space="preserve">. </w:t>
      </w:r>
      <w:r w:rsidRPr="00F7310E">
        <w:rPr>
          <w:rFonts w:ascii="Cambria" w:hAnsi="Cambria"/>
        </w:rPr>
        <w:t xml:space="preserve">While Law 045 complies in many respects with the </w:t>
      </w:r>
      <w:r w:rsidR="00862A7B" w:rsidRPr="00F7310E">
        <w:rPr>
          <w:rFonts w:ascii="Cambria" w:hAnsi="Cambria"/>
        </w:rPr>
        <w:t>state</w:t>
      </w:r>
      <w:r w:rsidR="004C3690" w:rsidRPr="00F7310E">
        <w:rPr>
          <w:rFonts w:ascii="Cambria" w:hAnsi="Cambria"/>
        </w:rPr>
        <w:t>’</w:t>
      </w:r>
      <w:r w:rsidR="00862A7B" w:rsidRPr="00F7310E">
        <w:rPr>
          <w:rFonts w:ascii="Cambria" w:hAnsi="Cambria"/>
        </w:rPr>
        <w:t>s obligations to adopt comprehensive equality legislation</w:t>
      </w:r>
      <w:r w:rsidRPr="00F7310E">
        <w:rPr>
          <w:rFonts w:ascii="Cambria" w:hAnsi="Cambria"/>
        </w:rPr>
        <w:t>,</w:t>
      </w:r>
      <w:bookmarkStart w:id="1" w:name="_Hlk18941454"/>
      <w:r w:rsidR="00862A7B" w:rsidRPr="00F7310E">
        <w:rPr>
          <w:rStyle w:val="FootnoteReference"/>
          <w:rFonts w:ascii="Cambria" w:hAnsi="Cambria"/>
        </w:rPr>
        <w:footnoteReference w:id="5"/>
      </w:r>
      <w:bookmarkEnd w:id="1"/>
      <w:r w:rsidRPr="00F7310E">
        <w:rPr>
          <w:rFonts w:ascii="Cambria" w:hAnsi="Cambria"/>
        </w:rPr>
        <w:t xml:space="preserve"> there have been </w:t>
      </w:r>
      <w:r w:rsidR="004C3690" w:rsidRPr="00F7310E">
        <w:rPr>
          <w:rFonts w:ascii="Cambria" w:hAnsi="Cambria"/>
        </w:rPr>
        <w:t xml:space="preserve">significant </w:t>
      </w:r>
      <w:r w:rsidRPr="00F7310E">
        <w:rPr>
          <w:rFonts w:ascii="Cambria" w:hAnsi="Cambria"/>
        </w:rPr>
        <w:t>difficulties in its implementation. Although the Law is considered to have some deterrent effect and there has been progress regarding general awareness of it, such that citizens make claims based upon it,</w:t>
      </w:r>
      <w:bookmarkStart w:id="2" w:name="_Hlk18060708"/>
      <w:r w:rsidRPr="00F7310E">
        <w:rPr>
          <w:rStyle w:val="FootnoteReference"/>
          <w:rFonts w:ascii="Cambria" w:hAnsi="Cambria"/>
        </w:rPr>
        <w:footnoteReference w:id="6"/>
      </w:r>
      <w:bookmarkEnd w:id="2"/>
      <w:r w:rsidRPr="00F7310E">
        <w:rPr>
          <w:rFonts w:ascii="Cambria" w:hAnsi="Cambria"/>
        </w:rPr>
        <w:t xml:space="preserve"> it remains poorly implemented and enforced.</w:t>
      </w:r>
    </w:p>
    <w:p w14:paraId="1F417671" w14:textId="77777777" w:rsidR="00D4220C" w:rsidRPr="00F7310E" w:rsidRDefault="00D4220C" w:rsidP="00F7310E">
      <w:pPr>
        <w:pStyle w:val="ListParagraph"/>
        <w:ind w:left="567" w:hanging="567"/>
        <w:rPr>
          <w:rFonts w:ascii="Cambria" w:hAnsi="Cambria"/>
        </w:rPr>
      </w:pPr>
    </w:p>
    <w:p w14:paraId="4706A397" w14:textId="472A35C8" w:rsidR="00D4220C" w:rsidRPr="00F7310E" w:rsidRDefault="003B5A15" w:rsidP="00F7310E">
      <w:pPr>
        <w:pStyle w:val="ListParagraph"/>
        <w:ind w:left="567" w:hanging="567"/>
        <w:rPr>
          <w:rFonts w:ascii="Cambria" w:hAnsi="Cambria"/>
          <w:b/>
          <w:bCs/>
          <w:i/>
          <w:iCs/>
        </w:rPr>
      </w:pPr>
      <w:r w:rsidRPr="00F7310E">
        <w:rPr>
          <w:rFonts w:ascii="Cambria" w:hAnsi="Cambria"/>
          <w:b/>
          <w:bCs/>
          <w:i/>
          <w:iCs/>
        </w:rPr>
        <w:t>Access to Justice</w:t>
      </w:r>
    </w:p>
    <w:p w14:paraId="395E2062" w14:textId="77777777" w:rsidR="003B5A15" w:rsidRPr="00F7310E" w:rsidRDefault="003B5A15" w:rsidP="00F7310E">
      <w:pPr>
        <w:pStyle w:val="ListParagraph"/>
        <w:ind w:left="567" w:hanging="567"/>
        <w:rPr>
          <w:rFonts w:ascii="Cambria" w:hAnsi="Cambria"/>
          <w:b/>
          <w:bCs/>
          <w:i/>
          <w:iCs/>
          <w:u w:val="single"/>
        </w:rPr>
      </w:pPr>
    </w:p>
    <w:p w14:paraId="44FB9DBA" w14:textId="7C972C5D" w:rsidR="00CE7D6A" w:rsidRPr="00F7310E" w:rsidRDefault="00F160D7" w:rsidP="00F7310E">
      <w:pPr>
        <w:pStyle w:val="ListParagraph"/>
        <w:numPr>
          <w:ilvl w:val="0"/>
          <w:numId w:val="20"/>
        </w:numPr>
        <w:jc w:val="both"/>
        <w:rPr>
          <w:rFonts w:ascii="Cambria" w:hAnsi="Cambria"/>
        </w:rPr>
      </w:pPr>
      <w:r w:rsidRPr="00F7310E">
        <w:rPr>
          <w:rFonts w:ascii="Cambria" w:hAnsi="Cambria"/>
        </w:rPr>
        <w:t>Under Article 2(3) of the ICCPR, states are required to ensure to all individuals whose rights to equality and non-discrimination has been violated,</w:t>
      </w:r>
      <w:r w:rsidRPr="00F7310E">
        <w:rPr>
          <w:rStyle w:val="FootnoteReference"/>
          <w:rFonts w:ascii="Cambria" w:hAnsi="Cambria"/>
        </w:rPr>
        <w:footnoteReference w:id="7"/>
      </w:r>
      <w:r w:rsidRPr="00F7310E">
        <w:rPr>
          <w:rFonts w:ascii="Cambria" w:hAnsi="Cambria"/>
        </w:rPr>
        <w:t xml:space="preserve"> the right to an effective remedy,</w:t>
      </w:r>
      <w:r w:rsidRPr="00F7310E">
        <w:rPr>
          <w:rStyle w:val="FootnoteReference"/>
          <w:rFonts w:ascii="Cambria" w:hAnsi="Cambria"/>
        </w:rPr>
        <w:footnoteReference w:id="8"/>
      </w:r>
      <w:r w:rsidRPr="00F7310E">
        <w:rPr>
          <w:rFonts w:ascii="Cambria" w:hAnsi="Cambria"/>
        </w:rPr>
        <w:t xml:space="preserve"> </w:t>
      </w:r>
      <w:r w:rsidR="00CE7D6A" w:rsidRPr="00F7310E">
        <w:rPr>
          <w:rFonts w:ascii="Cambria" w:hAnsi="Cambria"/>
        </w:rPr>
        <w:t>provided “by competent judicial, administrative or legislative authorities, or by any other competent authority provided for by the legal system of the State”</w:t>
      </w:r>
      <w:r w:rsidR="00867264" w:rsidRPr="00F7310E">
        <w:rPr>
          <w:rFonts w:ascii="Cambria" w:hAnsi="Cambria"/>
        </w:rPr>
        <w:t>.</w:t>
      </w:r>
      <w:r w:rsidR="00CE7D6A" w:rsidRPr="00F7310E">
        <w:rPr>
          <w:rStyle w:val="FootnoteReference"/>
          <w:rFonts w:ascii="Cambria" w:hAnsi="Cambria"/>
        </w:rPr>
        <w:footnoteReference w:id="9"/>
      </w:r>
      <w:r w:rsidRPr="00F7310E">
        <w:rPr>
          <w:rFonts w:ascii="Cambria" w:hAnsi="Cambria"/>
        </w:rPr>
        <w:t xml:space="preserve"> </w:t>
      </w:r>
      <w:r w:rsidR="00DE4549" w:rsidRPr="00F7310E">
        <w:rPr>
          <w:rFonts w:ascii="Cambria" w:hAnsi="Cambria"/>
        </w:rPr>
        <w:t>Where a violation of the rights to equality and non-discrimination is alleged to have occurred, States are required to investigate “promptly, thoroughly and effectively through independent and impartial bodies”</w:t>
      </w:r>
      <w:r w:rsidR="00867264" w:rsidRPr="00F7310E">
        <w:rPr>
          <w:rFonts w:ascii="Cambria" w:hAnsi="Cambria"/>
        </w:rPr>
        <w:t>.</w:t>
      </w:r>
      <w:r w:rsidR="00DE4549" w:rsidRPr="00F7310E">
        <w:rPr>
          <w:rStyle w:val="FootnoteReference"/>
          <w:rFonts w:ascii="Cambria" w:hAnsi="Cambria"/>
        </w:rPr>
        <w:footnoteReference w:id="10"/>
      </w:r>
      <w:r w:rsidR="00DE4549" w:rsidRPr="00F7310E">
        <w:rPr>
          <w:rFonts w:ascii="Cambria" w:hAnsi="Cambria"/>
        </w:rPr>
        <w:t xml:space="preserve"> </w:t>
      </w:r>
      <w:r w:rsidRPr="00F7310E">
        <w:rPr>
          <w:rFonts w:ascii="Cambria" w:hAnsi="Cambria"/>
        </w:rPr>
        <w:t>As a substantive Convention right, the right to an effective remedy must be provided</w:t>
      </w:r>
      <w:r w:rsidR="00CE7D6A" w:rsidRPr="00F7310E">
        <w:rPr>
          <w:rFonts w:ascii="Cambria" w:hAnsi="Cambria"/>
        </w:rPr>
        <w:t xml:space="preserve"> to all individuals without discrimination.</w:t>
      </w:r>
      <w:r w:rsidR="00CE7D6A" w:rsidRPr="00F7310E">
        <w:rPr>
          <w:rStyle w:val="FootnoteReference"/>
          <w:rFonts w:ascii="Cambria" w:hAnsi="Cambria"/>
        </w:rPr>
        <w:footnoteReference w:id="11"/>
      </w:r>
      <w:r w:rsidR="00CE7D6A" w:rsidRPr="00F7310E">
        <w:rPr>
          <w:rFonts w:ascii="Cambria" w:hAnsi="Cambria"/>
        </w:rPr>
        <w:t xml:space="preserve"> </w:t>
      </w:r>
    </w:p>
    <w:p w14:paraId="477B3A72" w14:textId="77777777" w:rsidR="00F7310E" w:rsidRPr="00F7310E" w:rsidRDefault="00F7310E" w:rsidP="00F7310E">
      <w:pPr>
        <w:pStyle w:val="ListParagraph"/>
        <w:ind w:left="567"/>
        <w:jc w:val="both"/>
        <w:rPr>
          <w:rFonts w:ascii="Cambria" w:hAnsi="Cambria"/>
        </w:rPr>
      </w:pPr>
    </w:p>
    <w:p w14:paraId="0AC91E3A" w14:textId="6FCB2B78" w:rsidR="003B5A15" w:rsidRPr="00F7310E" w:rsidRDefault="003B5A15" w:rsidP="00F7310E">
      <w:pPr>
        <w:spacing w:after="0" w:line="240" w:lineRule="auto"/>
        <w:jc w:val="both"/>
        <w:rPr>
          <w:rFonts w:ascii="Cambria" w:hAnsi="Cambria"/>
          <w:i/>
          <w:iCs/>
        </w:rPr>
      </w:pPr>
      <w:r w:rsidRPr="00F7310E">
        <w:rPr>
          <w:rFonts w:ascii="Cambria" w:hAnsi="Cambria"/>
          <w:i/>
          <w:iCs/>
        </w:rPr>
        <w:t>Administrative Proceedings</w:t>
      </w:r>
    </w:p>
    <w:p w14:paraId="604F933A" w14:textId="77777777" w:rsidR="003B5A15" w:rsidRPr="00F7310E" w:rsidRDefault="003B5A15" w:rsidP="00F7310E">
      <w:pPr>
        <w:spacing w:after="0" w:line="240" w:lineRule="auto"/>
        <w:jc w:val="both"/>
        <w:rPr>
          <w:rFonts w:ascii="Cambria" w:hAnsi="Cambria"/>
          <w:i/>
          <w:iCs/>
        </w:rPr>
      </w:pPr>
    </w:p>
    <w:p w14:paraId="5E581540" w14:textId="5833E6CF" w:rsidR="00D4220C" w:rsidRPr="00F7310E" w:rsidRDefault="00D4220C" w:rsidP="00F7310E">
      <w:pPr>
        <w:pStyle w:val="ListParagraph"/>
        <w:numPr>
          <w:ilvl w:val="0"/>
          <w:numId w:val="20"/>
        </w:numPr>
        <w:jc w:val="both"/>
        <w:rPr>
          <w:rFonts w:ascii="Cambria" w:hAnsi="Cambria"/>
          <w:u w:val="single"/>
        </w:rPr>
      </w:pPr>
      <w:r w:rsidRPr="00F7310E">
        <w:rPr>
          <w:rFonts w:ascii="Cambria" w:hAnsi="Cambria"/>
        </w:rPr>
        <w:t xml:space="preserve">Research conducted by </w:t>
      </w:r>
      <w:proofErr w:type="spellStart"/>
      <w:r w:rsidRPr="00F7310E">
        <w:rPr>
          <w:rFonts w:ascii="Cambria" w:hAnsi="Cambria"/>
        </w:rPr>
        <w:t>Comunidad</w:t>
      </w:r>
      <w:proofErr w:type="spellEnd"/>
      <w:r w:rsidRPr="00F7310E">
        <w:rPr>
          <w:rFonts w:ascii="Cambria" w:hAnsi="Cambria"/>
        </w:rPr>
        <w:t xml:space="preserve"> reveals that administrative, criminal, and constitutional proceedings designed to deal with discrimination have been ineffective in practice. Article 7 of Law 045 created the National Committee Against Racism and Discrimination (</w:t>
      </w:r>
      <w:proofErr w:type="spellStart"/>
      <w:r w:rsidRPr="00F7310E">
        <w:rPr>
          <w:rFonts w:ascii="Cambria" w:hAnsi="Cambria"/>
          <w:i/>
          <w:iCs/>
        </w:rPr>
        <w:t>Comité</w:t>
      </w:r>
      <w:proofErr w:type="spellEnd"/>
      <w:r w:rsidRPr="00F7310E">
        <w:rPr>
          <w:rFonts w:ascii="Cambria" w:hAnsi="Cambria"/>
          <w:i/>
          <w:iCs/>
        </w:rPr>
        <w:t xml:space="preserve"> Nacional </w:t>
      </w:r>
      <w:r w:rsidRPr="00F7310E">
        <w:rPr>
          <w:rFonts w:ascii="Cambria" w:hAnsi="Cambria"/>
          <w:i/>
          <w:iCs/>
        </w:rPr>
        <w:lastRenderedPageBreak/>
        <w:t xml:space="preserve">Contra el </w:t>
      </w:r>
      <w:proofErr w:type="spellStart"/>
      <w:r w:rsidRPr="00F7310E">
        <w:rPr>
          <w:rFonts w:ascii="Cambria" w:hAnsi="Cambria"/>
          <w:i/>
          <w:iCs/>
        </w:rPr>
        <w:t>Racismo</w:t>
      </w:r>
      <w:proofErr w:type="spellEnd"/>
      <w:r w:rsidRPr="00F7310E">
        <w:rPr>
          <w:rFonts w:ascii="Cambria" w:hAnsi="Cambria"/>
          <w:i/>
          <w:iCs/>
        </w:rPr>
        <w:t xml:space="preserve"> y </w:t>
      </w:r>
      <w:proofErr w:type="spellStart"/>
      <w:r w:rsidRPr="00F7310E">
        <w:rPr>
          <w:rFonts w:ascii="Cambria" w:hAnsi="Cambria"/>
          <w:i/>
          <w:iCs/>
        </w:rPr>
        <w:t>toda</w:t>
      </w:r>
      <w:proofErr w:type="spellEnd"/>
      <w:r w:rsidRPr="00F7310E">
        <w:rPr>
          <w:rFonts w:ascii="Cambria" w:hAnsi="Cambria"/>
          <w:i/>
          <w:iCs/>
        </w:rPr>
        <w:t xml:space="preserve"> forma de Discriminación</w:t>
      </w:r>
      <w:r w:rsidRPr="00F7310E">
        <w:rPr>
          <w:rFonts w:ascii="Cambria" w:hAnsi="Cambria"/>
        </w:rPr>
        <w:t xml:space="preserve">). Since the enactment of the </w:t>
      </w:r>
      <w:r w:rsidR="003B5A15" w:rsidRPr="00F7310E">
        <w:rPr>
          <w:rFonts w:ascii="Cambria" w:hAnsi="Cambria"/>
        </w:rPr>
        <w:t>L</w:t>
      </w:r>
      <w:r w:rsidRPr="00F7310E">
        <w:rPr>
          <w:rFonts w:ascii="Cambria" w:hAnsi="Cambria"/>
        </w:rPr>
        <w:t xml:space="preserve">aw, </w:t>
      </w:r>
      <w:proofErr w:type="gramStart"/>
      <w:r w:rsidR="007D34C0" w:rsidRPr="00F7310E">
        <w:rPr>
          <w:rFonts w:ascii="Cambria" w:hAnsi="Cambria"/>
        </w:rPr>
        <w:t xml:space="preserve">eight </w:t>
      </w:r>
      <w:r w:rsidRPr="00F7310E">
        <w:rPr>
          <w:rFonts w:ascii="Cambria" w:hAnsi="Cambria"/>
        </w:rPr>
        <w:t xml:space="preserve"> Departmental</w:t>
      </w:r>
      <w:proofErr w:type="gramEnd"/>
      <w:r w:rsidRPr="00F7310E">
        <w:rPr>
          <w:rFonts w:ascii="Cambria" w:hAnsi="Cambria"/>
        </w:rPr>
        <w:t xml:space="preserve"> Committees have been created</w:t>
      </w:r>
      <w:r w:rsidR="00D97B2B" w:rsidRPr="00F7310E">
        <w:rPr>
          <w:rFonts w:ascii="Cambria" w:hAnsi="Cambria"/>
        </w:rPr>
        <w:t xml:space="preserve">, but only three are operational. </w:t>
      </w:r>
    </w:p>
    <w:p w14:paraId="5969A8CD" w14:textId="77777777" w:rsidR="003B5A15" w:rsidRPr="00F7310E" w:rsidRDefault="003B5A15" w:rsidP="00F7310E">
      <w:pPr>
        <w:pStyle w:val="ListParagraph"/>
        <w:ind w:left="567" w:hanging="567"/>
        <w:jc w:val="both"/>
        <w:rPr>
          <w:rFonts w:ascii="Cambria" w:hAnsi="Cambria"/>
          <w:i/>
          <w:iCs/>
        </w:rPr>
      </w:pPr>
    </w:p>
    <w:p w14:paraId="5ADBE519" w14:textId="2FD7BFA7" w:rsidR="00D97B2B" w:rsidRDefault="00D4220C" w:rsidP="00F7310E">
      <w:pPr>
        <w:pStyle w:val="ListParagraph"/>
        <w:numPr>
          <w:ilvl w:val="0"/>
          <w:numId w:val="20"/>
        </w:numPr>
        <w:jc w:val="both"/>
        <w:rPr>
          <w:rFonts w:ascii="Cambria" w:hAnsi="Cambria"/>
        </w:rPr>
      </w:pPr>
      <w:r w:rsidRPr="00F7310E">
        <w:rPr>
          <w:rFonts w:ascii="Cambria" w:hAnsi="Cambria"/>
        </w:rPr>
        <w:t>Moreover, out of 195 cases reported by the Direction of the Fight Against Racism and All Forms of Discrimination in 2017 (</w:t>
      </w:r>
      <w:proofErr w:type="spellStart"/>
      <w:r w:rsidRPr="00F7310E">
        <w:rPr>
          <w:rFonts w:ascii="Cambria" w:hAnsi="Cambria"/>
          <w:i/>
          <w:iCs/>
        </w:rPr>
        <w:t>Dirección</w:t>
      </w:r>
      <w:proofErr w:type="spellEnd"/>
      <w:r w:rsidRPr="00F7310E">
        <w:rPr>
          <w:rFonts w:ascii="Cambria" w:hAnsi="Cambria"/>
          <w:i/>
          <w:iCs/>
        </w:rPr>
        <w:t xml:space="preserve"> de </w:t>
      </w:r>
      <w:proofErr w:type="spellStart"/>
      <w:r w:rsidRPr="00F7310E">
        <w:rPr>
          <w:rFonts w:ascii="Cambria" w:hAnsi="Cambria"/>
          <w:i/>
          <w:iCs/>
        </w:rPr>
        <w:t>Lucha</w:t>
      </w:r>
      <w:proofErr w:type="spellEnd"/>
      <w:r w:rsidRPr="00F7310E">
        <w:rPr>
          <w:rFonts w:ascii="Cambria" w:hAnsi="Cambria"/>
          <w:i/>
          <w:iCs/>
        </w:rPr>
        <w:t xml:space="preserve"> contra el </w:t>
      </w:r>
      <w:proofErr w:type="spellStart"/>
      <w:r w:rsidRPr="00F7310E">
        <w:rPr>
          <w:rFonts w:ascii="Cambria" w:hAnsi="Cambria"/>
          <w:i/>
          <w:iCs/>
        </w:rPr>
        <w:t>Racismo</w:t>
      </w:r>
      <w:proofErr w:type="spellEnd"/>
      <w:r w:rsidRPr="00F7310E">
        <w:rPr>
          <w:rFonts w:ascii="Cambria" w:hAnsi="Cambria"/>
          <w:i/>
          <w:iCs/>
        </w:rPr>
        <w:t xml:space="preserve"> y Toda Forma de Discriminación</w:t>
      </w:r>
      <w:r w:rsidR="00D97B2B" w:rsidRPr="00F7310E">
        <w:rPr>
          <w:rFonts w:ascii="Cambria" w:hAnsi="Cambria"/>
          <w:i/>
          <w:iCs/>
        </w:rPr>
        <w:t xml:space="preserve">, </w:t>
      </w:r>
      <w:r w:rsidR="00D97B2B" w:rsidRPr="00F7310E">
        <w:rPr>
          <w:rFonts w:ascii="Cambria" w:hAnsi="Cambria"/>
        </w:rPr>
        <w:t>an entity from the Ministry of Culture</w:t>
      </w:r>
      <w:r w:rsidRPr="00F7310E">
        <w:rPr>
          <w:rFonts w:ascii="Cambria" w:hAnsi="Cambria"/>
        </w:rPr>
        <w:t>), 114 of the claims were made against public officials</w:t>
      </w:r>
      <w:bookmarkStart w:id="3" w:name="_Hlk18060665"/>
      <w:r w:rsidRPr="00F7310E">
        <w:rPr>
          <w:rStyle w:val="FootnoteReference"/>
          <w:rFonts w:ascii="Cambria" w:hAnsi="Cambria"/>
        </w:rPr>
        <w:footnoteReference w:id="12"/>
      </w:r>
      <w:bookmarkEnd w:id="3"/>
      <w:r w:rsidRPr="00F7310E">
        <w:rPr>
          <w:rFonts w:ascii="Cambria" w:hAnsi="Cambria"/>
        </w:rPr>
        <w:t xml:space="preserve">. </w:t>
      </w:r>
      <w:proofErr w:type="spellStart"/>
      <w:r w:rsidR="00D97B2B" w:rsidRPr="00F7310E">
        <w:rPr>
          <w:rFonts w:ascii="Cambria" w:hAnsi="Cambria"/>
        </w:rPr>
        <w:t>Comunidad’s</w:t>
      </w:r>
      <w:proofErr w:type="spellEnd"/>
      <w:r w:rsidR="00D97B2B" w:rsidRPr="00F7310E">
        <w:rPr>
          <w:rFonts w:ascii="Cambria" w:hAnsi="Cambria"/>
        </w:rPr>
        <w:t xml:space="preserve"> interviews with key stakeholders also highlighted concerns that public officials responsible for handling administrative claims are biased by colonial, racist, and sexist prejudice, leading to the maintenance and reproduction of discriminatory practices across the population.</w:t>
      </w:r>
      <w:r w:rsidR="00D97B2B" w:rsidRPr="00F7310E">
        <w:rPr>
          <w:rStyle w:val="FootnoteReference"/>
          <w:rFonts w:ascii="Cambria" w:hAnsi="Cambria"/>
        </w:rPr>
        <w:footnoteReference w:id="13"/>
      </w:r>
      <w:r w:rsidR="00D97B2B" w:rsidRPr="00F7310E">
        <w:rPr>
          <w:rFonts w:ascii="Cambria" w:hAnsi="Cambria"/>
        </w:rPr>
        <w:t xml:space="preserve"> Between 2013 and April 2018, only 13% of cases against public officials were resolved.</w:t>
      </w:r>
      <w:r w:rsidR="00D97B2B" w:rsidRPr="00F7310E">
        <w:rPr>
          <w:rStyle w:val="FootnoteReference"/>
          <w:rFonts w:ascii="Cambria" w:hAnsi="Cambria"/>
        </w:rPr>
        <w:footnoteReference w:id="14"/>
      </w:r>
      <w:r w:rsidR="00D97B2B" w:rsidRPr="00F7310E">
        <w:rPr>
          <w:rFonts w:ascii="Cambria" w:hAnsi="Cambria"/>
        </w:rPr>
        <w:t xml:space="preserve"> </w:t>
      </w:r>
    </w:p>
    <w:p w14:paraId="6EE9D6A6" w14:textId="77777777" w:rsidR="00F7310E" w:rsidRPr="00F7310E" w:rsidRDefault="00F7310E" w:rsidP="00F7310E">
      <w:pPr>
        <w:pStyle w:val="ListParagraph"/>
        <w:rPr>
          <w:rFonts w:ascii="Cambria" w:hAnsi="Cambria"/>
        </w:rPr>
      </w:pPr>
    </w:p>
    <w:p w14:paraId="0BA1B137" w14:textId="439BE154" w:rsidR="00D4220C" w:rsidRPr="00F7310E" w:rsidRDefault="00D4220C" w:rsidP="00F7310E">
      <w:pPr>
        <w:pStyle w:val="ListParagraph"/>
        <w:numPr>
          <w:ilvl w:val="0"/>
          <w:numId w:val="20"/>
        </w:numPr>
        <w:jc w:val="both"/>
        <w:rPr>
          <w:rFonts w:ascii="Cambria" w:hAnsi="Cambria"/>
        </w:rPr>
      </w:pPr>
      <w:r w:rsidRPr="00F7310E">
        <w:rPr>
          <w:rFonts w:ascii="Cambria" w:hAnsi="Cambria"/>
        </w:rPr>
        <w:t>Although the State created a Protocol in 2017</w:t>
      </w:r>
      <w:r w:rsidR="00D97B2B" w:rsidRPr="00F7310E">
        <w:rPr>
          <w:rFonts w:ascii="Cambria" w:hAnsi="Cambria"/>
        </w:rPr>
        <w:t xml:space="preserve"> – implemented in 20 ministries, 9 governorates, and 9 municipal governments – </w:t>
      </w:r>
      <w:r w:rsidRPr="00F7310E">
        <w:rPr>
          <w:rFonts w:ascii="Cambria" w:hAnsi="Cambria"/>
        </w:rPr>
        <w:t xml:space="preserve">to accelerate the handling of administrative claims, research conducted by </w:t>
      </w:r>
      <w:proofErr w:type="spellStart"/>
      <w:r w:rsidRPr="00F7310E">
        <w:rPr>
          <w:rFonts w:ascii="Cambria" w:hAnsi="Cambria"/>
        </w:rPr>
        <w:t>Comunidad</w:t>
      </w:r>
      <w:proofErr w:type="spellEnd"/>
      <w:r w:rsidRPr="00F7310E">
        <w:rPr>
          <w:rFonts w:ascii="Cambria" w:hAnsi="Cambria"/>
        </w:rPr>
        <w:t xml:space="preserve"> </w:t>
      </w:r>
      <w:r w:rsidR="00D97B2B" w:rsidRPr="00F7310E">
        <w:rPr>
          <w:rFonts w:ascii="Cambria" w:hAnsi="Cambria"/>
        </w:rPr>
        <w:t xml:space="preserve">found that there have been challenges in implementation  due to continuous changes in staff, lack of economic resources, and the fact that the officials that have competence to review these claims tend to have connections to those whom the claims are made against. </w:t>
      </w:r>
    </w:p>
    <w:p w14:paraId="3EF79C61" w14:textId="2C0F09E0" w:rsidR="003B5A15" w:rsidRPr="00F7310E" w:rsidRDefault="003B5A15" w:rsidP="00F7310E">
      <w:pPr>
        <w:pStyle w:val="ListParagraph"/>
        <w:rPr>
          <w:rFonts w:ascii="Cambria" w:hAnsi="Cambria"/>
        </w:rPr>
      </w:pPr>
    </w:p>
    <w:p w14:paraId="55183FCE" w14:textId="4DE650A2" w:rsidR="00D4220C" w:rsidRPr="00F7310E" w:rsidRDefault="003B5A15" w:rsidP="00F7310E">
      <w:pPr>
        <w:spacing w:after="0" w:line="240" w:lineRule="auto"/>
        <w:rPr>
          <w:rFonts w:ascii="Cambria" w:hAnsi="Cambria"/>
          <w:i/>
          <w:iCs/>
        </w:rPr>
      </w:pPr>
      <w:r w:rsidRPr="00F7310E">
        <w:rPr>
          <w:rFonts w:ascii="Cambria" w:hAnsi="Cambria"/>
          <w:i/>
          <w:iCs/>
        </w:rPr>
        <w:t>Criminal Proceedings</w:t>
      </w:r>
    </w:p>
    <w:p w14:paraId="17B035CA" w14:textId="77777777" w:rsidR="003B5A15" w:rsidRPr="00F7310E" w:rsidRDefault="003B5A15" w:rsidP="00F7310E">
      <w:pPr>
        <w:spacing w:after="0" w:line="240" w:lineRule="auto"/>
        <w:rPr>
          <w:rFonts w:ascii="Cambria" w:hAnsi="Cambria"/>
        </w:rPr>
      </w:pPr>
    </w:p>
    <w:p w14:paraId="1E549DDA" w14:textId="61E9DA07" w:rsidR="00D4220C" w:rsidRPr="00F7310E" w:rsidRDefault="003B5A15" w:rsidP="00F7310E">
      <w:pPr>
        <w:pStyle w:val="ListParagraph"/>
        <w:numPr>
          <w:ilvl w:val="0"/>
          <w:numId w:val="20"/>
        </w:numPr>
        <w:jc w:val="both"/>
        <w:rPr>
          <w:rFonts w:ascii="Cambria" w:hAnsi="Cambria"/>
        </w:rPr>
      </w:pPr>
      <w:r w:rsidRPr="00F7310E">
        <w:rPr>
          <w:rFonts w:ascii="Cambria" w:hAnsi="Cambria"/>
        </w:rPr>
        <w:t>The</w:t>
      </w:r>
      <w:r w:rsidR="00D4220C" w:rsidRPr="00F7310E">
        <w:rPr>
          <w:rFonts w:ascii="Cambria" w:hAnsi="Cambria"/>
        </w:rPr>
        <w:t xml:space="preserve"> establishment of criminal sanctions for discrimination in Law 045 </w:t>
      </w:r>
      <w:r w:rsidR="00A975A0" w:rsidRPr="00F7310E">
        <w:rPr>
          <w:rFonts w:ascii="Cambria" w:hAnsi="Cambria"/>
        </w:rPr>
        <w:t xml:space="preserve">poses </w:t>
      </w:r>
      <w:proofErr w:type="gramStart"/>
      <w:r w:rsidR="00A975A0" w:rsidRPr="00F7310E">
        <w:rPr>
          <w:rFonts w:ascii="Cambria" w:hAnsi="Cambria"/>
        </w:rPr>
        <w:t>a number of</w:t>
      </w:r>
      <w:proofErr w:type="gramEnd"/>
      <w:r w:rsidR="00A975A0" w:rsidRPr="00F7310E">
        <w:rPr>
          <w:rFonts w:ascii="Cambria" w:hAnsi="Cambria"/>
        </w:rPr>
        <w:t xml:space="preserve"> problems. </w:t>
      </w:r>
      <w:r w:rsidR="006C5DA9" w:rsidRPr="00F7310E">
        <w:rPr>
          <w:rFonts w:ascii="Cambria" w:hAnsi="Cambria"/>
        </w:rPr>
        <w:t>As the Equal Rights Trust has noted elsewhere, there are numerous problems with the criminalisation of discrimination.</w:t>
      </w:r>
      <w:r w:rsidR="00330704" w:rsidRPr="00F7310E">
        <w:rPr>
          <w:rStyle w:val="FootnoteReference"/>
          <w:rFonts w:ascii="Cambria" w:hAnsi="Cambria"/>
        </w:rPr>
        <w:footnoteReference w:id="15"/>
      </w:r>
      <w:r w:rsidR="006C5DA9" w:rsidRPr="00F7310E">
        <w:rPr>
          <w:rFonts w:ascii="Cambria" w:hAnsi="Cambria"/>
        </w:rPr>
        <w:t xml:space="preserve"> Moreover, in Bolivia, the use of criminal sanctions </w:t>
      </w:r>
      <w:r w:rsidR="00D4220C" w:rsidRPr="00F7310E">
        <w:rPr>
          <w:rFonts w:ascii="Cambria" w:hAnsi="Cambria"/>
        </w:rPr>
        <w:t>has also proved to be almost completely ine</w:t>
      </w:r>
      <w:r w:rsidR="006C5DA9" w:rsidRPr="00F7310E">
        <w:rPr>
          <w:rFonts w:ascii="Cambria" w:hAnsi="Cambria"/>
        </w:rPr>
        <w:t>ffective in providing</w:t>
      </w:r>
      <w:r w:rsidR="00D4220C" w:rsidRPr="00F7310E">
        <w:rPr>
          <w:rFonts w:ascii="Cambria" w:hAnsi="Cambria"/>
        </w:rPr>
        <w:t xml:space="preserve"> effective remedies against discrimination. </w:t>
      </w:r>
    </w:p>
    <w:p w14:paraId="0DC7014A" w14:textId="44F40530" w:rsidR="005E61AC" w:rsidRPr="00F7310E" w:rsidRDefault="005E61AC" w:rsidP="00F7310E">
      <w:pPr>
        <w:pStyle w:val="ListParagraph"/>
        <w:ind w:left="567" w:hanging="567"/>
        <w:rPr>
          <w:rFonts w:ascii="Cambria" w:hAnsi="Cambria"/>
        </w:rPr>
      </w:pPr>
    </w:p>
    <w:p w14:paraId="287EE5E0" w14:textId="33C8D012" w:rsidR="00693538" w:rsidRPr="00F7310E" w:rsidRDefault="00330704" w:rsidP="00F7310E">
      <w:pPr>
        <w:pStyle w:val="ListParagraph"/>
        <w:numPr>
          <w:ilvl w:val="0"/>
          <w:numId w:val="20"/>
        </w:numPr>
        <w:jc w:val="both"/>
        <w:rPr>
          <w:rFonts w:ascii="Cambria" w:hAnsi="Cambria"/>
        </w:rPr>
      </w:pPr>
      <w:r w:rsidRPr="00F7310E">
        <w:rPr>
          <w:rFonts w:ascii="Cambria" w:hAnsi="Cambria"/>
        </w:rPr>
        <w:t xml:space="preserve">The right to non-discrimination cannot be properly and effectively enforced through recourse to criminal law penalties and criminal liability for several reasons. </w:t>
      </w:r>
      <w:r w:rsidR="006C5DA9" w:rsidRPr="00F7310E">
        <w:rPr>
          <w:rFonts w:ascii="Cambria" w:hAnsi="Cambria"/>
        </w:rPr>
        <w:t>Discrimination does</w:t>
      </w:r>
      <w:r w:rsidR="00E070CE" w:rsidRPr="00F7310E">
        <w:rPr>
          <w:rFonts w:ascii="Cambria" w:hAnsi="Cambria"/>
        </w:rPr>
        <w:t xml:space="preserve"> not require intent or malicious motive on the part of the discriminator (and can therefore be committed both intentionally or unintentionally)</w:t>
      </w:r>
      <w:r w:rsidR="0061311A" w:rsidRPr="00F7310E">
        <w:rPr>
          <w:rFonts w:ascii="Cambria" w:hAnsi="Cambria"/>
        </w:rPr>
        <w:t>.</w:t>
      </w:r>
      <w:r w:rsidR="00E070CE" w:rsidRPr="00F7310E">
        <w:rPr>
          <w:rFonts w:ascii="Cambria" w:hAnsi="Cambria"/>
          <w:vertAlign w:val="superscript"/>
        </w:rPr>
        <w:footnoteReference w:id="16"/>
      </w:r>
      <w:r w:rsidR="00E070CE" w:rsidRPr="00F7310E">
        <w:rPr>
          <w:rFonts w:ascii="Cambria" w:hAnsi="Cambria"/>
          <w:vertAlign w:val="superscript"/>
        </w:rPr>
        <w:t xml:space="preserve"> </w:t>
      </w:r>
      <w:r w:rsidR="0061311A" w:rsidRPr="00F7310E">
        <w:rPr>
          <w:rFonts w:ascii="Cambria" w:hAnsi="Cambria"/>
          <w:vertAlign w:val="superscript"/>
        </w:rPr>
        <w:t xml:space="preserve"> </w:t>
      </w:r>
      <w:r w:rsidR="006C5DA9" w:rsidRPr="00F7310E">
        <w:rPr>
          <w:rFonts w:ascii="Cambria" w:hAnsi="Cambria"/>
        </w:rPr>
        <w:t xml:space="preserve">As such, the application of criminal sanctions </w:t>
      </w:r>
      <w:r w:rsidRPr="00F7310E">
        <w:rPr>
          <w:rFonts w:ascii="Cambria" w:hAnsi="Cambria"/>
        </w:rPr>
        <w:t>is unjustified and disproportionate</w:t>
      </w:r>
      <w:r w:rsidR="006C5DA9" w:rsidRPr="00F7310E">
        <w:rPr>
          <w:rFonts w:ascii="Cambria" w:hAnsi="Cambria"/>
        </w:rPr>
        <w:t xml:space="preserve">: </w:t>
      </w:r>
      <w:r w:rsidR="00E95845" w:rsidRPr="00F7310E">
        <w:rPr>
          <w:rFonts w:ascii="Cambria" w:hAnsi="Cambria"/>
        </w:rPr>
        <w:t xml:space="preserve">for example, </w:t>
      </w:r>
      <w:r w:rsidR="006C5DA9" w:rsidRPr="00F7310E">
        <w:rPr>
          <w:rFonts w:ascii="Cambria" w:hAnsi="Cambria"/>
        </w:rPr>
        <w:t>it is clearly inappropriate to impose criminal liability in cases of indirect discrimination where rules, policies or procedures which result in disproportionate impact on certain groups may nevertheless have been implemented pursuant to legitimate aims.</w:t>
      </w:r>
      <w:r w:rsidRPr="00F7310E">
        <w:rPr>
          <w:rFonts w:ascii="Cambria" w:hAnsi="Cambria"/>
        </w:rPr>
        <w:t xml:space="preserve"> </w:t>
      </w:r>
      <w:r w:rsidR="00E95845" w:rsidRPr="00F7310E">
        <w:rPr>
          <w:rFonts w:ascii="Cambria" w:hAnsi="Cambria"/>
        </w:rPr>
        <w:t>Furthermore, the effective enforcement of the right to non-discrimination requires provision for the transfer of the burden of proof to the respondent. As the Committee on Economic, Social and Cultural Rights has noted: “[w]here the facts and events at issue lie wholly, or in part, within the exclusive knowledge of the (…) respondent, the burden of proof should be regarded as resting on the (…) respondent”.</w:t>
      </w:r>
      <w:r w:rsidR="00E95845" w:rsidRPr="00F7310E">
        <w:rPr>
          <w:rFonts w:ascii="Cambria" w:hAnsi="Cambria"/>
          <w:vertAlign w:val="superscript"/>
        </w:rPr>
        <w:footnoteReference w:id="17"/>
      </w:r>
      <w:r w:rsidR="00E95845" w:rsidRPr="00F7310E">
        <w:rPr>
          <w:rFonts w:ascii="Cambria" w:hAnsi="Cambria"/>
          <w:vertAlign w:val="superscript"/>
        </w:rPr>
        <w:t xml:space="preserve"> </w:t>
      </w:r>
      <w:r w:rsidR="00E95845" w:rsidRPr="00F7310E">
        <w:rPr>
          <w:rFonts w:ascii="Cambria" w:hAnsi="Cambria"/>
        </w:rPr>
        <w:t xml:space="preserve"> </w:t>
      </w:r>
      <w:r w:rsidR="00D140F6" w:rsidRPr="00F7310E">
        <w:rPr>
          <w:rFonts w:ascii="Cambria" w:hAnsi="Cambria"/>
        </w:rPr>
        <w:t>The</w:t>
      </w:r>
      <w:r w:rsidRPr="00F7310E">
        <w:rPr>
          <w:rFonts w:ascii="Cambria" w:hAnsi="Cambria"/>
        </w:rPr>
        <w:t xml:space="preserve"> transfer of the burden of proof</w:t>
      </w:r>
      <w:r w:rsidR="00D140F6" w:rsidRPr="00F7310E">
        <w:rPr>
          <w:rFonts w:ascii="Cambria" w:hAnsi="Cambria"/>
        </w:rPr>
        <w:t xml:space="preserve"> is</w:t>
      </w:r>
      <w:r w:rsidRPr="00F7310E">
        <w:rPr>
          <w:rFonts w:ascii="Cambria" w:hAnsi="Cambria"/>
        </w:rPr>
        <w:t xml:space="preserve"> essential to the effective enforcement of the right to non-discrimination,</w:t>
      </w:r>
      <w:r w:rsidR="00E95845" w:rsidRPr="00F7310E">
        <w:rPr>
          <w:rFonts w:ascii="Cambria" w:hAnsi="Cambria"/>
        </w:rPr>
        <w:t xml:space="preserve"> </w:t>
      </w:r>
      <w:r w:rsidR="00D140F6" w:rsidRPr="00F7310E">
        <w:rPr>
          <w:rFonts w:ascii="Cambria" w:hAnsi="Cambria"/>
        </w:rPr>
        <w:t>but is</w:t>
      </w:r>
      <w:r w:rsidRPr="00F7310E">
        <w:rPr>
          <w:rFonts w:ascii="Cambria" w:hAnsi="Cambria"/>
        </w:rPr>
        <w:t xml:space="preserve"> </w:t>
      </w:r>
      <w:r w:rsidR="00693538" w:rsidRPr="00F7310E">
        <w:rPr>
          <w:rFonts w:ascii="Cambria" w:hAnsi="Cambria"/>
        </w:rPr>
        <w:t xml:space="preserve">incompatible with the presumption of innocence, which </w:t>
      </w:r>
      <w:r w:rsidRPr="00F7310E">
        <w:rPr>
          <w:rFonts w:ascii="Cambria" w:hAnsi="Cambria"/>
        </w:rPr>
        <w:t>is an essential principle of due process in criminal cases</w:t>
      </w:r>
      <w:r w:rsidR="00693538" w:rsidRPr="00F7310E">
        <w:rPr>
          <w:rFonts w:ascii="Cambria" w:hAnsi="Cambria"/>
        </w:rPr>
        <w:t>.</w:t>
      </w:r>
      <w:r w:rsidR="00693538" w:rsidRPr="00F7310E">
        <w:rPr>
          <w:rFonts w:ascii="Cambria" w:hAnsi="Cambria"/>
          <w:vertAlign w:val="superscript"/>
        </w:rPr>
        <w:footnoteReference w:id="18"/>
      </w:r>
      <w:r w:rsidR="00693538" w:rsidRPr="00F7310E">
        <w:rPr>
          <w:rFonts w:ascii="Cambria" w:hAnsi="Cambria"/>
          <w:vertAlign w:val="superscript"/>
        </w:rPr>
        <w:t xml:space="preserve"> </w:t>
      </w:r>
      <w:r w:rsidR="00997EE9" w:rsidRPr="00F7310E">
        <w:rPr>
          <w:rFonts w:ascii="Cambria" w:hAnsi="Cambria"/>
          <w:vertAlign w:val="superscript"/>
        </w:rPr>
        <w:t xml:space="preserve"> </w:t>
      </w:r>
      <w:r w:rsidR="00693538" w:rsidRPr="00F7310E">
        <w:rPr>
          <w:rFonts w:ascii="Cambria" w:hAnsi="Cambria"/>
        </w:rPr>
        <w:t>F</w:t>
      </w:r>
      <w:r w:rsidR="00D140F6" w:rsidRPr="00F7310E">
        <w:rPr>
          <w:rFonts w:ascii="Cambria" w:hAnsi="Cambria"/>
        </w:rPr>
        <w:t>inally</w:t>
      </w:r>
      <w:r w:rsidR="00693538" w:rsidRPr="00F7310E">
        <w:rPr>
          <w:rFonts w:ascii="Cambria" w:hAnsi="Cambria"/>
        </w:rPr>
        <w:t xml:space="preserve">, </w:t>
      </w:r>
      <w:r w:rsidR="00E95845" w:rsidRPr="00F7310E">
        <w:rPr>
          <w:rFonts w:ascii="Cambria" w:hAnsi="Cambria"/>
        </w:rPr>
        <w:t xml:space="preserve">the use of criminal proceedings </w:t>
      </w:r>
      <w:r w:rsidR="00E95845" w:rsidRPr="00F7310E">
        <w:rPr>
          <w:rFonts w:ascii="Cambria" w:hAnsi="Cambria"/>
        </w:rPr>
        <w:lastRenderedPageBreak/>
        <w:t xml:space="preserve">is inappropriate because </w:t>
      </w:r>
      <w:r w:rsidR="00693538" w:rsidRPr="00F7310E">
        <w:rPr>
          <w:rFonts w:ascii="Cambria" w:hAnsi="Cambria"/>
        </w:rPr>
        <w:t xml:space="preserve">the focus of criminal proceedings is on the punishment of offenders rather than </w:t>
      </w:r>
      <w:r w:rsidR="00D140F6" w:rsidRPr="00F7310E">
        <w:rPr>
          <w:rFonts w:ascii="Cambria" w:hAnsi="Cambria"/>
        </w:rPr>
        <w:t xml:space="preserve">on securing </w:t>
      </w:r>
      <w:r w:rsidR="00693538" w:rsidRPr="00F7310E">
        <w:rPr>
          <w:rFonts w:ascii="Cambria" w:hAnsi="Cambria"/>
        </w:rPr>
        <w:t>legal redress</w:t>
      </w:r>
      <w:r w:rsidR="00D140F6" w:rsidRPr="00F7310E">
        <w:rPr>
          <w:rFonts w:ascii="Cambria" w:hAnsi="Cambria"/>
        </w:rPr>
        <w:t xml:space="preserve"> and remedy</w:t>
      </w:r>
      <w:r w:rsidR="00693538" w:rsidRPr="00F7310E">
        <w:rPr>
          <w:rFonts w:ascii="Cambria" w:hAnsi="Cambria"/>
        </w:rPr>
        <w:t xml:space="preserve"> for the victims of discrimination</w:t>
      </w:r>
      <w:r w:rsidR="00D140F6" w:rsidRPr="00F7310E">
        <w:rPr>
          <w:rFonts w:ascii="Cambria" w:hAnsi="Cambria"/>
        </w:rPr>
        <w:t>.</w:t>
      </w:r>
      <w:r w:rsidR="00693538" w:rsidRPr="00F7310E">
        <w:rPr>
          <w:rFonts w:ascii="Cambria" w:hAnsi="Cambria"/>
          <w:vertAlign w:val="superscript"/>
        </w:rPr>
        <w:footnoteReference w:id="19"/>
      </w:r>
    </w:p>
    <w:p w14:paraId="2B32EFE9" w14:textId="77777777" w:rsidR="00DA7B57" w:rsidRPr="00F7310E" w:rsidRDefault="00DA7B57" w:rsidP="00F7310E">
      <w:pPr>
        <w:pStyle w:val="ListParagraph"/>
        <w:ind w:left="567"/>
        <w:jc w:val="both"/>
        <w:rPr>
          <w:rFonts w:ascii="Cambria" w:hAnsi="Cambria"/>
        </w:rPr>
      </w:pPr>
    </w:p>
    <w:p w14:paraId="297AA0BC" w14:textId="4A51D226" w:rsidR="00E95845" w:rsidRPr="00F7310E" w:rsidRDefault="00D140F6" w:rsidP="00F7310E">
      <w:pPr>
        <w:pStyle w:val="ListParagraph"/>
        <w:numPr>
          <w:ilvl w:val="0"/>
          <w:numId w:val="20"/>
        </w:numPr>
        <w:jc w:val="both"/>
        <w:rPr>
          <w:rFonts w:ascii="Cambria" w:hAnsi="Cambria"/>
        </w:rPr>
      </w:pPr>
      <w:r w:rsidRPr="00F7310E">
        <w:rPr>
          <w:rFonts w:ascii="Cambria" w:hAnsi="Cambria"/>
        </w:rPr>
        <w:t xml:space="preserve">Research conducted by </w:t>
      </w:r>
      <w:proofErr w:type="spellStart"/>
      <w:r w:rsidRPr="00F7310E">
        <w:rPr>
          <w:rFonts w:ascii="Cambria" w:hAnsi="Cambria"/>
        </w:rPr>
        <w:t>Comunidad</w:t>
      </w:r>
      <w:proofErr w:type="spellEnd"/>
      <w:r w:rsidRPr="00F7310E">
        <w:rPr>
          <w:rFonts w:ascii="Cambria" w:hAnsi="Cambria"/>
        </w:rPr>
        <w:t xml:space="preserve"> has found that in Bolivia, the use of criminal sanctions has – for reasons including those set out in paragraph 14 – proved ineffective in securing remedy and sanction in </w:t>
      </w:r>
      <w:r w:rsidR="00DB5BC2" w:rsidRPr="00F7310E">
        <w:rPr>
          <w:rFonts w:ascii="Cambria" w:hAnsi="Cambria"/>
        </w:rPr>
        <w:t>discrimination</w:t>
      </w:r>
      <w:r w:rsidRPr="00F7310E">
        <w:rPr>
          <w:rFonts w:ascii="Cambria" w:hAnsi="Cambria"/>
        </w:rPr>
        <w:t xml:space="preserve"> cases</w:t>
      </w:r>
      <w:r w:rsidR="00DB5BC2" w:rsidRPr="00F7310E">
        <w:rPr>
          <w:rFonts w:ascii="Cambria" w:hAnsi="Cambria"/>
        </w:rPr>
        <w:t xml:space="preserve">. </w:t>
      </w:r>
      <w:proofErr w:type="spellStart"/>
      <w:r w:rsidRPr="00F7310E">
        <w:rPr>
          <w:rFonts w:ascii="Cambria" w:hAnsi="Cambria"/>
        </w:rPr>
        <w:t>Comunidad’s</w:t>
      </w:r>
      <w:proofErr w:type="spellEnd"/>
      <w:r w:rsidRPr="00F7310E">
        <w:rPr>
          <w:rFonts w:ascii="Cambria" w:hAnsi="Cambria"/>
        </w:rPr>
        <w:t xml:space="preserve"> research has found that, o</w:t>
      </w:r>
      <w:r w:rsidR="00DB5BC2" w:rsidRPr="00F7310E">
        <w:rPr>
          <w:rFonts w:ascii="Cambria" w:hAnsi="Cambria"/>
        </w:rPr>
        <w:t xml:space="preserve">f 340 criminal complaints, there have only been </w:t>
      </w:r>
      <w:r w:rsidRPr="00F7310E">
        <w:rPr>
          <w:rFonts w:ascii="Cambria" w:hAnsi="Cambria"/>
        </w:rPr>
        <w:t xml:space="preserve">two </w:t>
      </w:r>
      <w:r w:rsidR="00DB5BC2" w:rsidRPr="00F7310E">
        <w:rPr>
          <w:rFonts w:ascii="Cambria" w:hAnsi="Cambria"/>
        </w:rPr>
        <w:t>enforceable judgments</w:t>
      </w:r>
      <w:r w:rsidRPr="00F7310E">
        <w:rPr>
          <w:rFonts w:ascii="Cambria" w:hAnsi="Cambria"/>
        </w:rPr>
        <w:t xml:space="preserve">, with a further two subject to </w:t>
      </w:r>
      <w:r w:rsidR="00DB5BC2" w:rsidRPr="00F7310E">
        <w:rPr>
          <w:rFonts w:ascii="Cambria" w:hAnsi="Cambria"/>
        </w:rPr>
        <w:t>appeal.</w:t>
      </w:r>
      <w:r w:rsidR="00DB5BC2" w:rsidRPr="00F7310E">
        <w:rPr>
          <w:rStyle w:val="FootnoteReference"/>
          <w:rFonts w:ascii="Cambria" w:hAnsi="Cambria"/>
        </w:rPr>
        <w:footnoteReference w:id="20"/>
      </w:r>
      <w:r w:rsidR="00DB5BC2" w:rsidRPr="00F7310E">
        <w:rPr>
          <w:rFonts w:ascii="Cambria" w:hAnsi="Cambria"/>
        </w:rPr>
        <w:t xml:space="preserve"> This means that only 0.06% of criminal discrimination cases have been resolved. Furthermore, </w:t>
      </w:r>
      <w:r w:rsidRPr="00F7310E">
        <w:rPr>
          <w:rFonts w:ascii="Cambria" w:hAnsi="Cambria"/>
        </w:rPr>
        <w:t xml:space="preserve">key stakeholders interviewed by </w:t>
      </w:r>
      <w:proofErr w:type="spellStart"/>
      <w:r w:rsidRPr="00F7310E">
        <w:rPr>
          <w:rFonts w:ascii="Cambria" w:hAnsi="Cambria"/>
        </w:rPr>
        <w:t>Comunidad</w:t>
      </w:r>
      <w:proofErr w:type="spellEnd"/>
      <w:r w:rsidRPr="00F7310E">
        <w:rPr>
          <w:rFonts w:ascii="Cambria" w:hAnsi="Cambria"/>
        </w:rPr>
        <w:t xml:space="preserve"> stated that </w:t>
      </w:r>
      <w:r w:rsidR="00DB5BC2" w:rsidRPr="00F7310E">
        <w:rPr>
          <w:rFonts w:ascii="Cambria" w:hAnsi="Cambria"/>
        </w:rPr>
        <w:t xml:space="preserve">criminal complaints </w:t>
      </w:r>
      <w:r w:rsidRPr="00F7310E">
        <w:rPr>
          <w:rFonts w:ascii="Cambria" w:hAnsi="Cambria"/>
        </w:rPr>
        <w:t xml:space="preserve">frequently </w:t>
      </w:r>
      <w:r w:rsidR="00DB5BC2" w:rsidRPr="00F7310E">
        <w:rPr>
          <w:rFonts w:ascii="Cambria" w:hAnsi="Cambria"/>
        </w:rPr>
        <w:t xml:space="preserve">get stuck in a </w:t>
      </w:r>
      <w:r w:rsidRPr="00F7310E">
        <w:rPr>
          <w:rFonts w:ascii="Cambria" w:hAnsi="Cambria"/>
        </w:rPr>
        <w:t>“</w:t>
      </w:r>
      <w:r w:rsidR="00DB5BC2" w:rsidRPr="00F7310E">
        <w:rPr>
          <w:rFonts w:ascii="Cambria" w:hAnsi="Cambria"/>
        </w:rPr>
        <w:t>cul-de-sac</w:t>
      </w:r>
      <w:r w:rsidRPr="00F7310E">
        <w:rPr>
          <w:rFonts w:ascii="Cambria" w:hAnsi="Cambria"/>
        </w:rPr>
        <w:t>”</w:t>
      </w:r>
      <w:r w:rsidR="00DB5BC2" w:rsidRPr="00F7310E">
        <w:rPr>
          <w:rFonts w:ascii="Cambria" w:hAnsi="Cambria"/>
          <w:i/>
          <w:iCs/>
        </w:rPr>
        <w:t xml:space="preserve"> </w:t>
      </w:r>
      <w:r w:rsidR="00DB5BC2" w:rsidRPr="00F7310E">
        <w:rPr>
          <w:rFonts w:ascii="Cambria" w:hAnsi="Cambria"/>
        </w:rPr>
        <w:t xml:space="preserve">whenever they involve public officials, particularly those belonging to the executive </w:t>
      </w:r>
      <w:r w:rsidRPr="00F7310E">
        <w:rPr>
          <w:rFonts w:ascii="Cambria" w:hAnsi="Cambria"/>
        </w:rPr>
        <w:t>branch</w:t>
      </w:r>
      <w:r w:rsidR="00DB5BC2" w:rsidRPr="00F7310E">
        <w:rPr>
          <w:rFonts w:ascii="Cambria" w:hAnsi="Cambria"/>
        </w:rPr>
        <w:t>.</w:t>
      </w:r>
      <w:r w:rsidR="00DB5BC2" w:rsidRPr="00F7310E">
        <w:rPr>
          <w:rStyle w:val="FootnoteReference"/>
          <w:rFonts w:ascii="Cambria" w:hAnsi="Cambria" w:cstheme="minorHAnsi"/>
        </w:rPr>
        <w:footnoteReference w:id="21"/>
      </w:r>
      <w:r w:rsidR="00DB5BC2" w:rsidRPr="00F7310E">
        <w:rPr>
          <w:rFonts w:ascii="Cambria" w:hAnsi="Cambria"/>
        </w:rPr>
        <w:t xml:space="preserve"> </w:t>
      </w:r>
    </w:p>
    <w:p w14:paraId="20255FA0" w14:textId="77777777" w:rsidR="00E95845" w:rsidRPr="00F7310E" w:rsidRDefault="00E95845" w:rsidP="00F7310E">
      <w:pPr>
        <w:pStyle w:val="ListParagraph"/>
        <w:rPr>
          <w:rFonts w:ascii="Cambria" w:hAnsi="Cambria"/>
        </w:rPr>
      </w:pPr>
    </w:p>
    <w:p w14:paraId="3FF7CAA1" w14:textId="0FD85B43" w:rsidR="00E95845" w:rsidRPr="00F7310E" w:rsidRDefault="00E95845" w:rsidP="00F7310E">
      <w:pPr>
        <w:spacing w:after="0" w:line="240" w:lineRule="auto"/>
        <w:jc w:val="both"/>
        <w:rPr>
          <w:rFonts w:ascii="Cambria" w:hAnsi="Cambria"/>
          <w:i/>
          <w:iCs/>
        </w:rPr>
      </w:pPr>
      <w:r w:rsidRPr="00F7310E">
        <w:rPr>
          <w:rFonts w:ascii="Cambria" w:hAnsi="Cambria"/>
          <w:i/>
          <w:iCs/>
        </w:rPr>
        <w:t>Constitutional Proceedings</w:t>
      </w:r>
    </w:p>
    <w:p w14:paraId="76E7D827" w14:textId="77777777" w:rsidR="00F7310E" w:rsidRDefault="00F7310E" w:rsidP="00F7310E">
      <w:pPr>
        <w:pStyle w:val="ListParagraph"/>
        <w:ind w:left="567"/>
        <w:jc w:val="both"/>
        <w:rPr>
          <w:rFonts w:ascii="Cambria" w:hAnsi="Cambria"/>
        </w:rPr>
      </w:pPr>
    </w:p>
    <w:p w14:paraId="48269CF8" w14:textId="37454153" w:rsidR="004E3BA6" w:rsidRPr="00F7310E" w:rsidRDefault="00E95845" w:rsidP="00F7310E">
      <w:pPr>
        <w:pStyle w:val="ListParagraph"/>
        <w:numPr>
          <w:ilvl w:val="0"/>
          <w:numId w:val="20"/>
        </w:numPr>
        <w:jc w:val="both"/>
        <w:rPr>
          <w:rFonts w:ascii="Cambria" w:hAnsi="Cambria"/>
        </w:rPr>
      </w:pPr>
      <w:r w:rsidRPr="00F7310E">
        <w:rPr>
          <w:rFonts w:ascii="Cambria" w:hAnsi="Cambria"/>
        </w:rPr>
        <w:t>The constitutional mechanisms, despite relevant judgments in this matter, have led to contradictory decisions. For example, Judgment SCP 076/17 declared unconstitutional provisions in the Law of Gender Identity which allowed a full exercise of all fundamental rights of transgender and transsexual persons who had changed their name, sex, and image according to their identity.</w:t>
      </w:r>
      <w:r w:rsidR="00F7310E" w:rsidRPr="00F7310E">
        <w:rPr>
          <w:rStyle w:val="FootnoteReference"/>
          <w:rFonts w:ascii="Cambria" w:hAnsi="Cambria"/>
        </w:rPr>
        <w:footnoteReference w:id="22"/>
      </w:r>
      <w:r w:rsidRPr="00F7310E">
        <w:rPr>
          <w:rFonts w:ascii="Cambria" w:hAnsi="Cambria"/>
        </w:rPr>
        <w:t xml:space="preserve"> The tribunal deferred to the legislature the treatment of issues such as marriage, adoption, confidentiality, and parity in electoral processes regarding this group of the population, despite the requirements of Law 045</w:t>
      </w:r>
      <w:r w:rsidR="00F7310E" w:rsidRPr="00F7310E">
        <w:rPr>
          <w:rFonts w:ascii="Cambria" w:hAnsi="Cambria"/>
        </w:rPr>
        <w:t xml:space="preserve"> to ensure the right to non-discrimination</w:t>
      </w:r>
      <w:r w:rsidRPr="00F7310E">
        <w:rPr>
          <w:rFonts w:ascii="Cambria" w:hAnsi="Cambria"/>
        </w:rPr>
        <w:t>.</w:t>
      </w:r>
    </w:p>
    <w:p w14:paraId="72CD8D0F" w14:textId="77777777" w:rsidR="00E95845" w:rsidRPr="00F7310E" w:rsidRDefault="00E95845" w:rsidP="00F7310E">
      <w:pPr>
        <w:pStyle w:val="ListParagraph"/>
        <w:rPr>
          <w:rFonts w:ascii="Cambria" w:hAnsi="Cambria"/>
        </w:rPr>
      </w:pPr>
    </w:p>
    <w:p w14:paraId="33CD4357" w14:textId="1F44E21E" w:rsidR="000D6C76" w:rsidRPr="00F7310E" w:rsidRDefault="004E3BA6" w:rsidP="00F7310E">
      <w:pPr>
        <w:spacing w:after="0" w:line="240" w:lineRule="auto"/>
        <w:jc w:val="both"/>
        <w:rPr>
          <w:rFonts w:ascii="Cambria" w:hAnsi="Cambria"/>
          <w:b/>
          <w:bCs/>
          <w:i/>
          <w:iCs/>
        </w:rPr>
      </w:pPr>
      <w:r w:rsidRPr="00F7310E">
        <w:rPr>
          <w:rFonts w:ascii="Cambria" w:hAnsi="Cambria"/>
          <w:b/>
          <w:bCs/>
          <w:i/>
          <w:iCs/>
        </w:rPr>
        <w:t>Resources for implementation of the rights to equality and non-discrimination</w:t>
      </w:r>
    </w:p>
    <w:p w14:paraId="2219F265" w14:textId="77777777" w:rsidR="000D6C76" w:rsidRPr="00F7310E" w:rsidRDefault="000D6C76" w:rsidP="00F7310E">
      <w:pPr>
        <w:spacing w:after="0" w:line="240" w:lineRule="auto"/>
        <w:jc w:val="both"/>
        <w:rPr>
          <w:rFonts w:ascii="Cambria" w:hAnsi="Cambria"/>
          <w:b/>
          <w:bCs/>
          <w:i/>
          <w:iCs/>
        </w:rPr>
      </w:pPr>
    </w:p>
    <w:p w14:paraId="17D3EDCB" w14:textId="77777777" w:rsidR="00E95845" w:rsidRPr="00F7310E" w:rsidRDefault="008C043B" w:rsidP="00F7310E">
      <w:pPr>
        <w:pStyle w:val="ListParagraph"/>
        <w:numPr>
          <w:ilvl w:val="0"/>
          <w:numId w:val="20"/>
        </w:numPr>
        <w:jc w:val="both"/>
        <w:rPr>
          <w:rFonts w:ascii="Cambria" w:hAnsi="Cambria"/>
        </w:rPr>
      </w:pPr>
      <w:r w:rsidRPr="00F7310E">
        <w:rPr>
          <w:rFonts w:ascii="Cambria" w:hAnsi="Cambria"/>
        </w:rPr>
        <w:t>In its most recent concluding observations on Bolivia, the Human Rights Committee expressed concern regarding “the inadequacy of the mechanisms and resources for (…) implementation</w:t>
      </w:r>
      <w:r w:rsidR="00941DA5" w:rsidRPr="00F7310E">
        <w:rPr>
          <w:rFonts w:ascii="Cambria" w:hAnsi="Cambria"/>
        </w:rPr>
        <w:t xml:space="preserve">” </w:t>
      </w:r>
      <w:r w:rsidRPr="00F7310E">
        <w:rPr>
          <w:rFonts w:ascii="Cambria" w:hAnsi="Cambria"/>
        </w:rPr>
        <w:t>of Law 045.</w:t>
      </w:r>
      <w:r w:rsidRPr="00F7310E">
        <w:rPr>
          <w:rStyle w:val="FootnoteReference"/>
          <w:rFonts w:ascii="Cambria" w:hAnsi="Cambria"/>
        </w:rPr>
        <w:footnoteReference w:id="23"/>
      </w:r>
      <w:r w:rsidRPr="00F7310E">
        <w:rPr>
          <w:rFonts w:ascii="Cambria" w:hAnsi="Cambria"/>
        </w:rPr>
        <w:t xml:space="preserve"> </w:t>
      </w:r>
    </w:p>
    <w:p w14:paraId="62EDA3E1" w14:textId="77777777" w:rsidR="00E95845" w:rsidRPr="00F7310E" w:rsidRDefault="00E95845" w:rsidP="00F7310E">
      <w:pPr>
        <w:pStyle w:val="ListParagraph"/>
        <w:ind w:left="567"/>
        <w:jc w:val="both"/>
        <w:rPr>
          <w:rFonts w:ascii="Cambria" w:hAnsi="Cambria"/>
        </w:rPr>
      </w:pPr>
    </w:p>
    <w:p w14:paraId="4053129B" w14:textId="0C34A804" w:rsidR="00E95845" w:rsidRPr="00F7310E" w:rsidRDefault="003B5A15" w:rsidP="00F7310E">
      <w:pPr>
        <w:pStyle w:val="ListParagraph"/>
        <w:numPr>
          <w:ilvl w:val="0"/>
          <w:numId w:val="20"/>
        </w:numPr>
        <w:jc w:val="both"/>
        <w:rPr>
          <w:rFonts w:ascii="Cambria" w:hAnsi="Cambria"/>
        </w:rPr>
      </w:pPr>
      <w:r w:rsidRPr="00F7310E">
        <w:rPr>
          <w:rFonts w:ascii="Cambria" w:hAnsi="Cambria"/>
        </w:rPr>
        <w:t>Article 11 of Law 045 establishes that the state must allocate the necessary resources for the implementation of the anti-discrimination law. However, it does not establish a fixed percentage of resources from the state budget, nor does it define criteria for the determination of such a budget. This, in practice, has meant the allocation of insufficient resources for the implementation of the law.</w:t>
      </w:r>
      <w:bookmarkStart w:id="6" w:name="_Hlk18059874"/>
      <w:r w:rsidRPr="00F7310E">
        <w:rPr>
          <w:rStyle w:val="FootnoteReference"/>
          <w:rFonts w:ascii="Cambria" w:hAnsi="Cambria"/>
        </w:rPr>
        <w:footnoteReference w:id="24"/>
      </w:r>
      <w:bookmarkEnd w:id="6"/>
    </w:p>
    <w:p w14:paraId="5B1E5886" w14:textId="77777777" w:rsidR="00E95845" w:rsidRPr="00F7310E" w:rsidRDefault="00E95845" w:rsidP="00F7310E">
      <w:pPr>
        <w:spacing w:after="0" w:line="240" w:lineRule="auto"/>
        <w:jc w:val="both"/>
        <w:rPr>
          <w:rFonts w:ascii="Cambria" w:hAnsi="Cambria"/>
        </w:rPr>
      </w:pPr>
    </w:p>
    <w:p w14:paraId="3184EF96" w14:textId="77777777" w:rsidR="005F65C3" w:rsidRPr="00F7310E" w:rsidRDefault="005F65C3" w:rsidP="00F7310E">
      <w:pPr>
        <w:pStyle w:val="ListParagraph"/>
        <w:numPr>
          <w:ilvl w:val="0"/>
          <w:numId w:val="20"/>
        </w:numPr>
        <w:jc w:val="both"/>
        <w:rPr>
          <w:rFonts w:ascii="Cambria" w:hAnsi="Cambria"/>
        </w:rPr>
      </w:pPr>
      <w:r w:rsidRPr="00F7310E">
        <w:rPr>
          <w:rFonts w:ascii="Cambria" w:hAnsi="Cambria"/>
        </w:rPr>
        <w:t xml:space="preserve">The </w:t>
      </w:r>
      <w:r w:rsidRPr="00F7310E">
        <w:rPr>
          <w:rFonts w:ascii="Cambria" w:hAnsi="Cambria"/>
          <w:i/>
          <w:iCs/>
        </w:rPr>
        <w:t xml:space="preserve">Policy of the </w:t>
      </w:r>
      <w:proofErr w:type="spellStart"/>
      <w:r w:rsidRPr="00F7310E">
        <w:rPr>
          <w:rFonts w:ascii="Cambria" w:hAnsi="Cambria"/>
          <w:i/>
          <w:iCs/>
        </w:rPr>
        <w:t>Plurinational</w:t>
      </w:r>
      <w:proofErr w:type="spellEnd"/>
      <w:r w:rsidRPr="00F7310E">
        <w:rPr>
          <w:rFonts w:ascii="Cambria" w:hAnsi="Cambria"/>
          <w:i/>
          <w:iCs/>
        </w:rPr>
        <w:t xml:space="preserve"> State of Bolivia against Racism and all forms of Discrimination</w:t>
      </w:r>
      <w:r w:rsidRPr="00F7310E">
        <w:rPr>
          <w:rFonts w:ascii="Cambria" w:hAnsi="Cambria"/>
        </w:rPr>
        <w:t xml:space="preserve"> was adopted for the period 2012-15, but no information was made available on a budget allocation for its implementation. Subsequently, the National Committee worked on the </w:t>
      </w:r>
      <w:r w:rsidRPr="00F7310E">
        <w:rPr>
          <w:rFonts w:ascii="Cambria" w:hAnsi="Cambria"/>
          <w:i/>
          <w:iCs/>
        </w:rPr>
        <w:t xml:space="preserve">Multisectoral Plan of the </w:t>
      </w:r>
      <w:proofErr w:type="spellStart"/>
      <w:r w:rsidRPr="00F7310E">
        <w:rPr>
          <w:rFonts w:ascii="Cambria" w:hAnsi="Cambria"/>
          <w:i/>
          <w:iCs/>
        </w:rPr>
        <w:lastRenderedPageBreak/>
        <w:t>Plurinational</w:t>
      </w:r>
      <w:proofErr w:type="spellEnd"/>
      <w:r w:rsidRPr="00F7310E">
        <w:rPr>
          <w:rFonts w:ascii="Cambria" w:hAnsi="Cambria"/>
          <w:i/>
          <w:iCs/>
        </w:rPr>
        <w:t xml:space="preserve"> State of Bolivia against Racism and All Forms of Discrimination 2016 - 2020</w:t>
      </w:r>
      <w:r w:rsidRPr="00F7310E">
        <w:rPr>
          <w:rFonts w:ascii="Cambria" w:hAnsi="Cambria"/>
        </w:rPr>
        <w:t xml:space="preserve">, a public policy that aims to improve the quality of life of vulnerable populations. In 2018, </w:t>
      </w:r>
      <w:proofErr w:type="gramStart"/>
      <w:r w:rsidRPr="00F7310E">
        <w:rPr>
          <w:rFonts w:ascii="Cambria" w:hAnsi="Cambria"/>
        </w:rPr>
        <w:t>a majority of</w:t>
      </w:r>
      <w:proofErr w:type="gramEnd"/>
      <w:r w:rsidRPr="00F7310E">
        <w:rPr>
          <w:rFonts w:ascii="Cambria" w:hAnsi="Cambria"/>
        </w:rPr>
        <w:t xml:space="preserve"> Ministries have registered programmes and actions in accordance with the Multisectoral Plan.</w:t>
      </w:r>
    </w:p>
    <w:p w14:paraId="69E92D8A" w14:textId="77777777" w:rsidR="005F65C3" w:rsidRPr="00F7310E" w:rsidRDefault="005F65C3" w:rsidP="00F7310E">
      <w:pPr>
        <w:spacing w:after="0" w:line="240" w:lineRule="auto"/>
        <w:jc w:val="both"/>
        <w:rPr>
          <w:rFonts w:ascii="Cambria" w:hAnsi="Cambria"/>
        </w:rPr>
      </w:pPr>
    </w:p>
    <w:p w14:paraId="62A7FB8E" w14:textId="071A7D88" w:rsidR="00DB5BC2" w:rsidRPr="00F7310E" w:rsidRDefault="00DB5BC2" w:rsidP="00F7310E">
      <w:pPr>
        <w:spacing w:after="0" w:line="240" w:lineRule="auto"/>
        <w:jc w:val="both"/>
        <w:rPr>
          <w:rFonts w:ascii="Cambria" w:hAnsi="Cambria"/>
          <w:color w:val="FF0000"/>
        </w:rPr>
      </w:pPr>
    </w:p>
    <w:p w14:paraId="574EA330" w14:textId="6CE6F1E0" w:rsidR="00DB5BC2" w:rsidRPr="00F7310E" w:rsidRDefault="00DB5BC2" w:rsidP="00F7310E">
      <w:pPr>
        <w:pStyle w:val="ListParagraph"/>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
        </w:rPr>
      </w:pPr>
      <w:r w:rsidRPr="00F7310E">
        <w:rPr>
          <w:rFonts w:ascii="Cambria" w:hAnsi="Cambria"/>
          <w:b/>
        </w:rPr>
        <w:t xml:space="preserve">Suggested Questions – Legal Framework </w:t>
      </w:r>
    </w:p>
    <w:p w14:paraId="72DA0C71" w14:textId="58FDE162" w:rsidR="0094594F" w:rsidRPr="00F7310E" w:rsidRDefault="0094594F" w:rsidP="00F7310E">
      <w:pPr>
        <w:pStyle w:val="ListParagraph"/>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
        </w:rPr>
      </w:pPr>
    </w:p>
    <w:p w14:paraId="6D72996A" w14:textId="39B717EF" w:rsidR="00451A61" w:rsidRPr="00F7310E" w:rsidRDefault="009B53C3" w:rsidP="00F7310E">
      <w:pPr>
        <w:pStyle w:val="ListParagraph"/>
        <w:numPr>
          <w:ilvl w:val="0"/>
          <w:numId w:val="15"/>
        </w:numPr>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Cs/>
        </w:rPr>
      </w:pPr>
      <w:r w:rsidRPr="00F7310E">
        <w:rPr>
          <w:rFonts w:ascii="Cambria" w:hAnsi="Cambria"/>
          <w:bCs/>
        </w:rPr>
        <w:t xml:space="preserve">Does the State </w:t>
      </w:r>
      <w:r w:rsidR="000A7269" w:rsidRPr="00F7310E">
        <w:rPr>
          <w:rFonts w:ascii="Cambria" w:hAnsi="Cambria"/>
          <w:bCs/>
        </w:rPr>
        <w:t>Party consider that</w:t>
      </w:r>
      <w:r w:rsidR="00496243" w:rsidRPr="00F7310E">
        <w:rPr>
          <w:rFonts w:ascii="Cambria" w:hAnsi="Cambria"/>
          <w:bCs/>
        </w:rPr>
        <w:t xml:space="preserve"> Law 045 of 2010</w:t>
      </w:r>
      <w:r w:rsidR="000A7269" w:rsidRPr="00F7310E">
        <w:rPr>
          <w:rFonts w:ascii="Cambria" w:hAnsi="Cambria"/>
          <w:bCs/>
        </w:rPr>
        <w:t xml:space="preserve"> is effective in combating discrimination in the enjoyment of Covenant rights</w:t>
      </w:r>
      <w:r w:rsidR="00496243" w:rsidRPr="00F7310E">
        <w:rPr>
          <w:rFonts w:ascii="Cambria" w:hAnsi="Cambria"/>
          <w:bCs/>
        </w:rPr>
        <w:t>? What</w:t>
      </w:r>
      <w:r w:rsidR="000A7269" w:rsidRPr="00F7310E">
        <w:rPr>
          <w:rFonts w:ascii="Cambria" w:hAnsi="Cambria"/>
          <w:bCs/>
        </w:rPr>
        <w:t>, if any,</w:t>
      </w:r>
      <w:r w:rsidR="00496243" w:rsidRPr="00F7310E">
        <w:rPr>
          <w:rFonts w:ascii="Cambria" w:hAnsi="Cambria"/>
          <w:bCs/>
        </w:rPr>
        <w:t xml:space="preserve"> are the indicators </w:t>
      </w:r>
      <w:r w:rsidR="000A7269" w:rsidRPr="00F7310E">
        <w:rPr>
          <w:rFonts w:ascii="Cambria" w:hAnsi="Cambria"/>
          <w:bCs/>
        </w:rPr>
        <w:t xml:space="preserve">which the State Party has used to assess the effectiveness of Law 045? </w:t>
      </w:r>
    </w:p>
    <w:p w14:paraId="73BBD650" w14:textId="25799E61" w:rsidR="00451A61" w:rsidRPr="00F7310E" w:rsidRDefault="00451A61" w:rsidP="00F7310E">
      <w:pPr>
        <w:pStyle w:val="ListParagraph"/>
        <w:numPr>
          <w:ilvl w:val="0"/>
          <w:numId w:val="15"/>
        </w:numPr>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Cs/>
        </w:rPr>
      </w:pPr>
      <w:r w:rsidRPr="00F7310E">
        <w:rPr>
          <w:rFonts w:ascii="Cambria" w:hAnsi="Cambria"/>
          <w:bCs/>
        </w:rPr>
        <w:t xml:space="preserve">What plans, if any, does the State Party have to </w:t>
      </w:r>
      <w:r w:rsidR="000A7269" w:rsidRPr="00F7310E">
        <w:rPr>
          <w:rFonts w:ascii="Cambria" w:hAnsi="Cambria"/>
          <w:bCs/>
        </w:rPr>
        <w:t>improve the</w:t>
      </w:r>
      <w:r w:rsidRPr="00F7310E">
        <w:rPr>
          <w:rFonts w:ascii="Cambria" w:hAnsi="Cambria"/>
          <w:bCs/>
        </w:rPr>
        <w:t xml:space="preserve"> implementation </w:t>
      </w:r>
      <w:r w:rsidR="000A7269" w:rsidRPr="00F7310E">
        <w:rPr>
          <w:rFonts w:ascii="Cambria" w:hAnsi="Cambria"/>
          <w:bCs/>
        </w:rPr>
        <w:t xml:space="preserve">and enforcement </w:t>
      </w:r>
      <w:r w:rsidRPr="00F7310E">
        <w:rPr>
          <w:rFonts w:ascii="Cambria" w:hAnsi="Cambria"/>
          <w:bCs/>
        </w:rPr>
        <w:t>of Law 045?</w:t>
      </w:r>
    </w:p>
    <w:p w14:paraId="652D17A9" w14:textId="0602BD71" w:rsidR="000A7269" w:rsidRPr="00F7310E" w:rsidRDefault="000A7269" w:rsidP="00F7310E">
      <w:pPr>
        <w:pStyle w:val="ListParagraph"/>
        <w:numPr>
          <w:ilvl w:val="0"/>
          <w:numId w:val="15"/>
        </w:numPr>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Cs/>
        </w:rPr>
      </w:pPr>
      <w:r w:rsidRPr="00F7310E">
        <w:rPr>
          <w:rFonts w:ascii="Cambria" w:hAnsi="Cambria"/>
          <w:bCs/>
        </w:rPr>
        <w:t xml:space="preserve">What concrete measures has the State Party taken to ensure access to </w:t>
      </w:r>
      <w:r w:rsidR="00AB22E6" w:rsidRPr="00F7310E">
        <w:rPr>
          <w:rFonts w:ascii="Cambria" w:hAnsi="Cambria"/>
          <w:bCs/>
        </w:rPr>
        <w:t>justice for survivors of</w:t>
      </w:r>
      <w:r w:rsidRPr="00F7310E">
        <w:rPr>
          <w:rFonts w:ascii="Cambria" w:hAnsi="Cambria"/>
          <w:bCs/>
        </w:rPr>
        <w:t xml:space="preserve"> discrimination? What measures have been taken to ensure the prompt, impartial, and independent investigation of claims or complaints of discrimination?</w:t>
      </w:r>
    </w:p>
    <w:p w14:paraId="0C0AB504" w14:textId="3802F5E1" w:rsidR="000A7269" w:rsidRPr="00F7310E" w:rsidRDefault="000A7269" w:rsidP="00F7310E">
      <w:pPr>
        <w:pStyle w:val="ListParagraph"/>
        <w:numPr>
          <w:ilvl w:val="0"/>
          <w:numId w:val="15"/>
        </w:numPr>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Cs/>
        </w:rPr>
      </w:pPr>
      <w:r w:rsidRPr="00F7310E">
        <w:rPr>
          <w:rFonts w:ascii="Cambria" w:hAnsi="Cambria"/>
          <w:bCs/>
        </w:rPr>
        <w:t xml:space="preserve">How does the State Party evaluate the effectiveness of the remedies that have been provided for the violation of the rights to equality and non-discrimination? </w:t>
      </w:r>
      <w:r w:rsidR="00AB22E6" w:rsidRPr="00F7310E">
        <w:rPr>
          <w:rFonts w:ascii="Cambria" w:hAnsi="Cambria"/>
          <w:bCs/>
        </w:rPr>
        <w:t>Does the State Party consider the use of criminal penalties in discrimination cases to be proportionate, just and effective?</w:t>
      </w:r>
    </w:p>
    <w:p w14:paraId="0A3EC3E2" w14:textId="680EC6FE" w:rsidR="00496243" w:rsidRPr="00F7310E" w:rsidRDefault="00496243" w:rsidP="00F7310E">
      <w:pPr>
        <w:pStyle w:val="ListParagraph"/>
        <w:numPr>
          <w:ilvl w:val="0"/>
          <w:numId w:val="15"/>
        </w:numPr>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Cs/>
        </w:rPr>
      </w:pPr>
      <w:r w:rsidRPr="00F7310E">
        <w:rPr>
          <w:rFonts w:ascii="Cambria" w:hAnsi="Cambria"/>
          <w:bCs/>
        </w:rPr>
        <w:t xml:space="preserve">How does the State Party determine the resources allocated to the implementation of Law 045? </w:t>
      </w:r>
      <w:r w:rsidR="00451A61" w:rsidRPr="00F7310E">
        <w:rPr>
          <w:rFonts w:ascii="Cambria" w:hAnsi="Cambria"/>
          <w:bCs/>
        </w:rPr>
        <w:t xml:space="preserve">How does the State Party evaluate the adequacy of said resources in this regard? What mechanisms, if any, does the </w:t>
      </w:r>
      <w:r w:rsidR="00C37BA0" w:rsidRPr="00F7310E">
        <w:rPr>
          <w:rFonts w:ascii="Cambria" w:hAnsi="Cambria"/>
          <w:bCs/>
        </w:rPr>
        <w:t>State Party have in place to monitor whether these resources have been adequately spent?</w:t>
      </w:r>
    </w:p>
    <w:p w14:paraId="19F4E634" w14:textId="08375290" w:rsidR="00E95845" w:rsidRPr="00F7310E" w:rsidRDefault="00E95845" w:rsidP="00F7310E">
      <w:pPr>
        <w:pStyle w:val="ListParagraph"/>
        <w:numPr>
          <w:ilvl w:val="0"/>
          <w:numId w:val="15"/>
        </w:numPr>
        <w:pBdr>
          <w:top w:val="single" w:sz="18" w:space="1" w:color="1F3864"/>
          <w:left w:val="single" w:sz="18" w:space="4" w:color="1F3864"/>
          <w:bottom w:val="single" w:sz="18" w:space="1" w:color="1F3864"/>
          <w:right w:val="single" w:sz="18" w:space="4" w:color="1F3864"/>
        </w:pBdr>
        <w:shd w:val="clear" w:color="auto" w:fill="F2F2F2"/>
        <w:ind w:right="146"/>
        <w:rPr>
          <w:rFonts w:ascii="Cambria" w:hAnsi="Cambria"/>
          <w:bCs/>
        </w:rPr>
      </w:pPr>
      <w:r w:rsidRPr="00F7310E">
        <w:rPr>
          <w:rFonts w:ascii="Cambria" w:hAnsi="Cambria"/>
          <w:bCs/>
        </w:rPr>
        <w:t xml:space="preserve">What progress has the State Party made in the enactment of a special law which guarantees family plurality and diversity, in the compliance with the order by the </w:t>
      </w:r>
      <w:proofErr w:type="spellStart"/>
      <w:r w:rsidRPr="00F7310E">
        <w:rPr>
          <w:rFonts w:ascii="Cambria" w:hAnsi="Cambria"/>
          <w:bCs/>
        </w:rPr>
        <w:t>Plurinational</w:t>
      </w:r>
      <w:proofErr w:type="spellEnd"/>
      <w:r w:rsidRPr="00F7310E">
        <w:rPr>
          <w:rFonts w:ascii="Cambria" w:hAnsi="Cambria"/>
          <w:bCs/>
        </w:rPr>
        <w:t xml:space="preserve"> Constitutional Tribunal to the Legislator in judgment SCP 076/2017 regarding marriage between same sex couples?</w:t>
      </w:r>
    </w:p>
    <w:p w14:paraId="48290290" w14:textId="77777777" w:rsidR="008E40FA" w:rsidRPr="00F7310E" w:rsidRDefault="008E40FA" w:rsidP="00F7310E">
      <w:pPr>
        <w:spacing w:after="0" w:line="240" w:lineRule="auto"/>
        <w:jc w:val="both"/>
        <w:rPr>
          <w:rFonts w:ascii="Cambria" w:hAnsi="Cambria"/>
        </w:rPr>
      </w:pPr>
    </w:p>
    <w:sectPr w:rsidR="008E40FA" w:rsidRPr="00F7310E" w:rsidSect="00D4220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2006" w14:textId="77777777" w:rsidR="003A3512" w:rsidRDefault="003A3512" w:rsidP="003405B6">
      <w:pPr>
        <w:spacing w:after="0" w:line="240" w:lineRule="auto"/>
      </w:pPr>
      <w:r>
        <w:separator/>
      </w:r>
    </w:p>
  </w:endnote>
  <w:endnote w:type="continuationSeparator" w:id="0">
    <w:p w14:paraId="45503DA5" w14:textId="77777777" w:rsidR="003A3512" w:rsidRDefault="003A3512" w:rsidP="0034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DD5B" w14:textId="77777777" w:rsidR="003A3512" w:rsidRDefault="003A3512" w:rsidP="003405B6">
      <w:pPr>
        <w:spacing w:after="0" w:line="240" w:lineRule="auto"/>
      </w:pPr>
      <w:r>
        <w:separator/>
      </w:r>
    </w:p>
  </w:footnote>
  <w:footnote w:type="continuationSeparator" w:id="0">
    <w:p w14:paraId="189D4A23" w14:textId="77777777" w:rsidR="003A3512" w:rsidRDefault="003A3512" w:rsidP="003405B6">
      <w:pPr>
        <w:spacing w:after="0" w:line="240" w:lineRule="auto"/>
      </w:pPr>
      <w:r>
        <w:continuationSeparator/>
      </w:r>
    </w:p>
  </w:footnote>
  <w:footnote w:id="1">
    <w:p w14:paraId="1B260C7C" w14:textId="77777777" w:rsidR="00862A7B" w:rsidRPr="00C77147" w:rsidRDefault="00862A7B" w:rsidP="00C77147">
      <w:pPr>
        <w:pStyle w:val="FootnoteText"/>
        <w:spacing w:after="200"/>
        <w:jc w:val="both"/>
        <w:rPr>
          <w:rFonts w:ascii="Cambria" w:hAnsi="Cambria"/>
        </w:rPr>
      </w:pPr>
      <w:r w:rsidRPr="00C77147">
        <w:rPr>
          <w:rStyle w:val="FootnoteReference"/>
          <w:rFonts w:ascii="Cambria" w:hAnsi="Cambria"/>
        </w:rPr>
        <w:footnoteRef/>
      </w:r>
      <w:r w:rsidRPr="00C77147">
        <w:rPr>
          <w:rFonts w:ascii="Cambria" w:hAnsi="Cambria"/>
        </w:rPr>
        <w:t xml:space="preserve"> Human Rights Committee, </w:t>
      </w:r>
      <w:r w:rsidRPr="00C77147">
        <w:rPr>
          <w:rFonts w:ascii="Cambria" w:hAnsi="Cambria"/>
          <w:i/>
          <w:iCs/>
        </w:rPr>
        <w:t>General Comment No. 18: Non-discrimination</w:t>
      </w:r>
      <w:r w:rsidRPr="00C77147">
        <w:rPr>
          <w:rFonts w:ascii="Cambria" w:hAnsi="Cambria"/>
        </w:rPr>
        <w:t xml:space="preserve">, 1989, Para 12. </w:t>
      </w:r>
    </w:p>
  </w:footnote>
  <w:footnote w:id="2">
    <w:p w14:paraId="1DB9A340" w14:textId="77777777" w:rsidR="00862A7B" w:rsidRPr="00C77147" w:rsidRDefault="00862A7B" w:rsidP="00C77147">
      <w:pPr>
        <w:pStyle w:val="FootnoteText"/>
        <w:spacing w:after="200"/>
        <w:jc w:val="both"/>
        <w:rPr>
          <w:rFonts w:ascii="Cambria" w:hAnsi="Cambria"/>
        </w:rPr>
      </w:pPr>
      <w:r w:rsidRPr="00C77147">
        <w:rPr>
          <w:rStyle w:val="FootnoteReference"/>
          <w:rFonts w:ascii="Cambria" w:hAnsi="Cambria"/>
        </w:rPr>
        <w:footnoteRef/>
      </w:r>
      <w:r w:rsidRPr="00C77147">
        <w:rPr>
          <w:rFonts w:ascii="Cambria" w:hAnsi="Cambria"/>
        </w:rPr>
        <w:t xml:space="preserve"> </w:t>
      </w:r>
      <w:r w:rsidRPr="00C77147">
        <w:rPr>
          <w:rFonts w:ascii="Cambria" w:hAnsi="Cambria"/>
          <w:i/>
          <w:iCs/>
        </w:rPr>
        <w:t>Ibid</w:t>
      </w:r>
      <w:r w:rsidRPr="00C77147">
        <w:rPr>
          <w:rFonts w:ascii="Cambria" w:hAnsi="Cambria"/>
        </w:rPr>
        <w:t xml:space="preserve">. Para 10. </w:t>
      </w:r>
    </w:p>
  </w:footnote>
  <w:footnote w:id="3">
    <w:p w14:paraId="75B89C8C" w14:textId="77777777" w:rsidR="00862A7B" w:rsidRPr="00C77147" w:rsidRDefault="00862A7B" w:rsidP="00C77147">
      <w:pPr>
        <w:pStyle w:val="FootnoteText"/>
        <w:spacing w:after="200"/>
        <w:jc w:val="both"/>
        <w:rPr>
          <w:rFonts w:ascii="Cambria" w:hAnsi="Cambria"/>
        </w:rPr>
      </w:pPr>
      <w:r w:rsidRPr="00C77147">
        <w:rPr>
          <w:rStyle w:val="FootnoteReference"/>
          <w:rFonts w:ascii="Cambria" w:hAnsi="Cambria"/>
        </w:rPr>
        <w:footnoteRef/>
      </w:r>
      <w:r w:rsidRPr="00C77147">
        <w:rPr>
          <w:rFonts w:ascii="Cambria" w:hAnsi="Cambria"/>
        </w:rPr>
        <w:t xml:space="preserve"> Declaration of Principles on Equality, The Equal Rights Trust, London, 2008. </w:t>
      </w:r>
    </w:p>
  </w:footnote>
  <w:footnote w:id="4">
    <w:p w14:paraId="465A9FF2" w14:textId="77777777" w:rsidR="00862A7B" w:rsidRPr="00C77147" w:rsidRDefault="00862A7B" w:rsidP="00C77147">
      <w:pPr>
        <w:pStyle w:val="FootnoteText"/>
        <w:spacing w:after="200"/>
        <w:jc w:val="both"/>
        <w:rPr>
          <w:rFonts w:ascii="Cambria" w:hAnsi="Cambria"/>
        </w:rPr>
      </w:pPr>
      <w:r w:rsidRPr="00C77147">
        <w:rPr>
          <w:rStyle w:val="FootnoteReference"/>
          <w:rFonts w:ascii="Cambria" w:hAnsi="Cambria"/>
        </w:rPr>
        <w:footnoteRef/>
      </w:r>
      <w:r w:rsidRPr="00C77147">
        <w:rPr>
          <w:rFonts w:ascii="Cambria" w:hAnsi="Cambria"/>
        </w:rPr>
        <w:t xml:space="preserve"> </w:t>
      </w:r>
      <w:proofErr w:type="spellStart"/>
      <w:r w:rsidRPr="00C77147">
        <w:rPr>
          <w:rFonts w:ascii="Cambria" w:hAnsi="Cambria"/>
        </w:rPr>
        <w:t>Naz</w:t>
      </w:r>
      <w:proofErr w:type="spellEnd"/>
      <w:r w:rsidRPr="00C77147">
        <w:rPr>
          <w:rFonts w:ascii="Cambria" w:hAnsi="Cambria"/>
        </w:rPr>
        <w:t xml:space="preserve"> Foundation v. Government of NCT of Delhi and Others WP(C) No.7455/2001, Para. 93.</w:t>
      </w:r>
    </w:p>
  </w:footnote>
  <w:footnote w:id="5">
    <w:p w14:paraId="7E6AEAFE" w14:textId="6AE24E42" w:rsidR="00862A7B" w:rsidRPr="00B654B4" w:rsidRDefault="00862A7B" w:rsidP="00C77147">
      <w:pPr>
        <w:pStyle w:val="FootnoteText"/>
        <w:spacing w:after="200"/>
        <w:rPr>
          <w:rFonts w:ascii="Cambria" w:hAnsi="Cambria"/>
          <w:lang w:val="es-CO"/>
        </w:rPr>
      </w:pPr>
      <w:r w:rsidRPr="00C77147">
        <w:rPr>
          <w:rStyle w:val="FootnoteReference"/>
          <w:rFonts w:ascii="Cambria" w:hAnsi="Cambria"/>
        </w:rPr>
        <w:footnoteRef/>
      </w:r>
      <w:r w:rsidRPr="00C77147">
        <w:rPr>
          <w:rFonts w:ascii="Cambria" w:hAnsi="Cambria"/>
        </w:rPr>
        <w:t xml:space="preserve"> See </w:t>
      </w:r>
      <w:r w:rsidR="008C043B" w:rsidRPr="00C77147">
        <w:rPr>
          <w:rFonts w:ascii="Cambria" w:hAnsi="Cambria"/>
        </w:rPr>
        <w:t>note 3</w:t>
      </w:r>
      <w:r w:rsidRPr="00C77147">
        <w:rPr>
          <w:rFonts w:ascii="Cambria" w:hAnsi="Cambria"/>
        </w:rPr>
        <w:t xml:space="preserve">, Recommendation 15;  </w:t>
      </w:r>
      <w:r w:rsidR="001B3809" w:rsidRPr="00C77147">
        <w:rPr>
          <w:rFonts w:ascii="Cambria" w:hAnsi="Cambria"/>
        </w:rPr>
        <w:t xml:space="preserve">Committee on Economic, Social and Cultural Rights, </w:t>
      </w:r>
      <w:r w:rsidR="001B3809" w:rsidRPr="00C77147">
        <w:rPr>
          <w:rFonts w:ascii="Cambria" w:hAnsi="Cambria"/>
          <w:i/>
          <w:iCs/>
        </w:rPr>
        <w:t>General Comment No. 20: Non-Discrimination in Economic, Social and Cultural Rights</w:t>
      </w:r>
      <w:r w:rsidR="001B3809" w:rsidRPr="00C77147">
        <w:rPr>
          <w:rFonts w:ascii="Cambria" w:hAnsi="Cambria"/>
        </w:rPr>
        <w:t>, UN Doc. E/C.12/GC/20, 2009, Para 37; Committee on the Rights of Persons With Disabilities</w:t>
      </w:r>
      <w:r w:rsidR="001B3809" w:rsidRPr="00C77147">
        <w:rPr>
          <w:rFonts w:ascii="Cambria" w:hAnsi="Cambria"/>
          <w:i/>
          <w:iCs/>
        </w:rPr>
        <w:t>,</w:t>
      </w:r>
      <w:r w:rsidR="001B3809" w:rsidRPr="00C77147">
        <w:rPr>
          <w:rFonts w:ascii="Cambria" w:hAnsi="Cambria"/>
        </w:rPr>
        <w:t xml:space="preserve"> </w:t>
      </w:r>
      <w:r w:rsidR="001B3809" w:rsidRPr="00C77147">
        <w:rPr>
          <w:rFonts w:ascii="Cambria" w:hAnsi="Cambria"/>
          <w:i/>
          <w:iCs/>
        </w:rPr>
        <w:t>General Comment No. 6: Equality and Non-Discrimination</w:t>
      </w:r>
      <w:r w:rsidR="001B3809" w:rsidRPr="00C77147">
        <w:rPr>
          <w:rFonts w:ascii="Cambria" w:hAnsi="Cambria"/>
        </w:rPr>
        <w:t xml:space="preserve">, UN Doc. </w:t>
      </w:r>
      <w:r w:rsidR="001B3809" w:rsidRPr="00B654B4">
        <w:rPr>
          <w:rFonts w:ascii="Cambria" w:hAnsi="Cambria"/>
          <w:lang w:val="es-CO"/>
        </w:rPr>
        <w:t xml:space="preserve">CRPD/C/GC/6, 2018, Para 22; </w:t>
      </w:r>
    </w:p>
  </w:footnote>
  <w:footnote w:id="6">
    <w:p w14:paraId="23BEE387" w14:textId="5D7E0B24" w:rsidR="00D4220C" w:rsidRPr="00C276ED" w:rsidRDefault="00D4220C" w:rsidP="00F7310E">
      <w:pPr>
        <w:pStyle w:val="FootnoteText"/>
        <w:spacing w:after="120"/>
        <w:rPr>
          <w:rFonts w:ascii="Cambria" w:hAnsi="Cambria" w:cstheme="minorHAnsi"/>
          <w:lang w:val="es-CO"/>
        </w:rPr>
      </w:pPr>
      <w:r w:rsidRPr="005F65C3">
        <w:rPr>
          <w:rStyle w:val="FootnoteReference"/>
          <w:rFonts w:ascii="Cambria" w:hAnsi="Cambria" w:cstheme="minorHAnsi"/>
        </w:rPr>
        <w:footnoteRef/>
      </w:r>
      <w:r w:rsidRPr="00C77147">
        <w:rPr>
          <w:rFonts w:ascii="Cambria" w:hAnsi="Cambria" w:cstheme="minorHAnsi"/>
          <w:color w:val="FF0000"/>
          <w:lang w:val="es-CO"/>
        </w:rPr>
        <w:t xml:space="preserve"> </w:t>
      </w:r>
      <w:r w:rsidR="005F65C3" w:rsidRPr="00C276ED">
        <w:rPr>
          <w:rFonts w:ascii="Cambria" w:hAnsi="Cambria" w:cstheme="minorHAnsi"/>
          <w:lang w:val="es-CO"/>
        </w:rPr>
        <w:t xml:space="preserve">Comunidad de Derechos Humanos interview </w:t>
      </w:r>
      <w:proofErr w:type="spellStart"/>
      <w:r w:rsidR="005F65C3" w:rsidRPr="00C276ED">
        <w:rPr>
          <w:rFonts w:ascii="Cambria" w:hAnsi="Cambria" w:cstheme="minorHAnsi"/>
          <w:lang w:val="es-CO"/>
        </w:rPr>
        <w:t>with</w:t>
      </w:r>
      <w:proofErr w:type="spellEnd"/>
      <w:r w:rsidR="005F65C3" w:rsidRPr="00C276ED">
        <w:rPr>
          <w:rFonts w:ascii="Cambria" w:hAnsi="Cambria" w:cstheme="minorHAnsi"/>
          <w:lang w:val="es-CO"/>
        </w:rPr>
        <w:t xml:space="preserve"> X, 2019 (</w:t>
      </w:r>
      <w:proofErr w:type="spellStart"/>
      <w:r w:rsidR="005F65C3" w:rsidRPr="00C276ED">
        <w:rPr>
          <w:rFonts w:ascii="Cambria" w:hAnsi="Cambria" w:cstheme="minorHAnsi"/>
          <w:lang w:val="es-CO"/>
        </w:rPr>
        <w:t>name</w:t>
      </w:r>
      <w:proofErr w:type="spellEnd"/>
      <w:r w:rsidR="005F65C3" w:rsidRPr="00C276ED">
        <w:rPr>
          <w:rFonts w:ascii="Cambria" w:hAnsi="Cambria" w:cstheme="minorHAnsi"/>
          <w:lang w:val="es-CO"/>
        </w:rPr>
        <w:t xml:space="preserve"> </w:t>
      </w:r>
      <w:proofErr w:type="spellStart"/>
      <w:r w:rsidR="005F65C3" w:rsidRPr="00C276ED">
        <w:rPr>
          <w:rFonts w:ascii="Cambria" w:hAnsi="Cambria" w:cstheme="minorHAnsi"/>
          <w:lang w:val="es-CO"/>
        </w:rPr>
        <w:t>available</w:t>
      </w:r>
      <w:proofErr w:type="spellEnd"/>
      <w:r w:rsidR="005F65C3" w:rsidRPr="00C276ED">
        <w:rPr>
          <w:rFonts w:ascii="Cambria" w:hAnsi="Cambria" w:cstheme="minorHAnsi"/>
          <w:lang w:val="es-CO"/>
        </w:rPr>
        <w:t xml:space="preserve"> </w:t>
      </w:r>
      <w:proofErr w:type="spellStart"/>
      <w:r w:rsidR="005F65C3" w:rsidRPr="00C276ED">
        <w:rPr>
          <w:rFonts w:ascii="Cambria" w:hAnsi="Cambria" w:cstheme="minorHAnsi"/>
          <w:lang w:val="es-CO"/>
        </w:rPr>
        <w:t>on</w:t>
      </w:r>
      <w:proofErr w:type="spellEnd"/>
      <w:r w:rsidR="005F65C3" w:rsidRPr="00C276ED">
        <w:rPr>
          <w:rFonts w:ascii="Cambria" w:hAnsi="Cambria" w:cstheme="minorHAnsi"/>
          <w:lang w:val="es-CO"/>
        </w:rPr>
        <w:t xml:space="preserve"> </w:t>
      </w:r>
      <w:proofErr w:type="spellStart"/>
      <w:r w:rsidR="005F65C3" w:rsidRPr="00C276ED">
        <w:rPr>
          <w:rFonts w:ascii="Cambria" w:hAnsi="Cambria" w:cstheme="minorHAnsi"/>
          <w:lang w:val="es-CO"/>
        </w:rPr>
        <w:t>request</w:t>
      </w:r>
      <w:proofErr w:type="spellEnd"/>
      <w:r w:rsidR="005F65C3" w:rsidRPr="00C276ED">
        <w:rPr>
          <w:rFonts w:ascii="Cambria" w:hAnsi="Cambria" w:cstheme="minorHAnsi"/>
          <w:lang w:val="es-CO"/>
        </w:rPr>
        <w:t>).</w:t>
      </w:r>
      <w:r w:rsidR="005F65C3" w:rsidRPr="00C276ED">
        <w:rPr>
          <w:rFonts w:ascii="Cambria" w:hAnsi="Cambria" w:cstheme="minorHAnsi"/>
          <w:color w:val="FF0000"/>
          <w:lang w:val="es-CO"/>
        </w:rPr>
        <w:t xml:space="preserve"> </w:t>
      </w:r>
    </w:p>
  </w:footnote>
  <w:footnote w:id="7">
    <w:p w14:paraId="00BDE3C0" w14:textId="52C7BD2D" w:rsidR="00F160D7" w:rsidRPr="00C77147" w:rsidRDefault="00F160D7" w:rsidP="00C77147">
      <w:pPr>
        <w:pStyle w:val="FootnoteText"/>
        <w:spacing w:after="200"/>
        <w:rPr>
          <w:rFonts w:ascii="Cambria" w:hAnsi="Cambria"/>
        </w:rPr>
      </w:pPr>
      <w:r w:rsidRPr="00C77147">
        <w:rPr>
          <w:rStyle w:val="FootnoteReference"/>
          <w:rFonts w:ascii="Cambria" w:hAnsi="Cambria"/>
        </w:rPr>
        <w:footnoteRef/>
      </w:r>
      <w:r w:rsidRPr="00C77147">
        <w:rPr>
          <w:rFonts w:ascii="Cambria" w:hAnsi="Cambria"/>
        </w:rPr>
        <w:t xml:space="preserve"> International Covenant on Civil and Political Rights, Articles 2(1) and 26.</w:t>
      </w:r>
    </w:p>
  </w:footnote>
  <w:footnote w:id="8">
    <w:p w14:paraId="7C7A5429" w14:textId="1AA44E67" w:rsidR="00F160D7" w:rsidRPr="00C77147" w:rsidRDefault="00F160D7" w:rsidP="00C77147">
      <w:pPr>
        <w:pStyle w:val="FootnoteText"/>
        <w:spacing w:after="200"/>
        <w:rPr>
          <w:rFonts w:ascii="Cambria" w:hAnsi="Cambria"/>
        </w:rPr>
      </w:pPr>
      <w:r w:rsidRPr="00C77147">
        <w:rPr>
          <w:rStyle w:val="FootnoteReference"/>
          <w:rFonts w:ascii="Cambria" w:hAnsi="Cambria"/>
        </w:rPr>
        <w:footnoteRef/>
      </w:r>
      <w:r w:rsidRPr="00C77147">
        <w:rPr>
          <w:rFonts w:ascii="Cambria" w:hAnsi="Cambria"/>
        </w:rPr>
        <w:t xml:space="preserve"> International Covenant on Civil and Political Rights, Article 2(3)(a).</w:t>
      </w:r>
    </w:p>
  </w:footnote>
  <w:footnote w:id="9">
    <w:p w14:paraId="2BFF273C" w14:textId="179AF7B5" w:rsidR="00CE7D6A" w:rsidRPr="00C77147" w:rsidRDefault="00CE7D6A" w:rsidP="00C77147">
      <w:pPr>
        <w:pStyle w:val="FootnoteText"/>
        <w:spacing w:after="200"/>
        <w:rPr>
          <w:rFonts w:ascii="Cambria" w:hAnsi="Cambria"/>
        </w:rPr>
      </w:pPr>
      <w:r w:rsidRPr="00C77147">
        <w:rPr>
          <w:rStyle w:val="FootnoteReference"/>
          <w:rFonts w:ascii="Cambria" w:hAnsi="Cambria"/>
        </w:rPr>
        <w:footnoteRef/>
      </w:r>
      <w:r w:rsidRPr="00C77147">
        <w:rPr>
          <w:rFonts w:ascii="Cambria" w:hAnsi="Cambria"/>
        </w:rPr>
        <w:t xml:space="preserve"> International Covenant on Civil and Political Rights, Article 2(3)(b).</w:t>
      </w:r>
    </w:p>
  </w:footnote>
  <w:footnote w:id="10">
    <w:p w14:paraId="050824A0" w14:textId="734927B0" w:rsidR="00DE4549" w:rsidRPr="00C77147" w:rsidRDefault="00DE4549" w:rsidP="00C77147">
      <w:pPr>
        <w:pStyle w:val="FootnoteText"/>
        <w:spacing w:after="200"/>
        <w:rPr>
          <w:rFonts w:ascii="Cambria" w:hAnsi="Cambria"/>
        </w:rPr>
      </w:pPr>
      <w:r w:rsidRPr="00C77147">
        <w:rPr>
          <w:rStyle w:val="FootnoteReference"/>
          <w:rFonts w:ascii="Cambria" w:hAnsi="Cambria"/>
        </w:rPr>
        <w:footnoteRef/>
      </w:r>
      <w:r w:rsidRPr="00C77147">
        <w:rPr>
          <w:rFonts w:ascii="Cambria" w:hAnsi="Cambria"/>
        </w:rPr>
        <w:t xml:space="preserve"> Human Rights Committee, </w:t>
      </w:r>
      <w:r w:rsidRPr="00C77147">
        <w:rPr>
          <w:rFonts w:ascii="Cambria" w:hAnsi="Cambria"/>
          <w:i/>
          <w:iCs/>
        </w:rPr>
        <w:t>General Comment No. 31: The Nature of the General Legal Obligation Imposed on States Parties to the Covenant,</w:t>
      </w:r>
      <w:r w:rsidRPr="00C77147">
        <w:rPr>
          <w:rFonts w:ascii="Cambria" w:hAnsi="Cambria"/>
        </w:rPr>
        <w:t xml:space="preserve"> UN Doc. CCPR/C/21/Rev.1/Add.13, 2004, Para 15.</w:t>
      </w:r>
    </w:p>
  </w:footnote>
  <w:footnote w:id="11">
    <w:p w14:paraId="15196A7B" w14:textId="48AF7326" w:rsidR="00CE7D6A" w:rsidRPr="00C77147" w:rsidRDefault="00CE7D6A" w:rsidP="00C77147">
      <w:pPr>
        <w:pStyle w:val="FootnoteText"/>
        <w:spacing w:after="200"/>
        <w:rPr>
          <w:rFonts w:ascii="Cambria" w:hAnsi="Cambria"/>
        </w:rPr>
      </w:pPr>
      <w:r w:rsidRPr="00C77147">
        <w:rPr>
          <w:rStyle w:val="FootnoteReference"/>
          <w:rFonts w:ascii="Cambria" w:hAnsi="Cambria"/>
        </w:rPr>
        <w:footnoteRef/>
      </w:r>
      <w:r w:rsidRPr="00C77147">
        <w:rPr>
          <w:rFonts w:ascii="Cambria" w:hAnsi="Cambria"/>
        </w:rPr>
        <w:t xml:space="preserve"> </w:t>
      </w:r>
      <w:r w:rsidR="00F160D7" w:rsidRPr="00C77147">
        <w:rPr>
          <w:rFonts w:ascii="Cambria" w:hAnsi="Cambria"/>
        </w:rPr>
        <w:t>International Covenant on Civil and Political Rights, Article 2(1).</w:t>
      </w:r>
    </w:p>
  </w:footnote>
  <w:footnote w:id="12">
    <w:p w14:paraId="2597F315" w14:textId="77777777" w:rsidR="00D4220C" w:rsidRPr="00C77147" w:rsidRDefault="00D4220C" w:rsidP="00C77147">
      <w:pPr>
        <w:pStyle w:val="FootnoteText"/>
        <w:spacing w:after="200"/>
        <w:rPr>
          <w:rFonts w:ascii="Cambria" w:hAnsi="Cambria" w:cstheme="minorHAnsi"/>
          <w:lang w:val="es-CO"/>
        </w:rPr>
      </w:pPr>
      <w:r w:rsidRPr="00C77147">
        <w:rPr>
          <w:rStyle w:val="FootnoteReference"/>
          <w:rFonts w:ascii="Cambria" w:hAnsi="Cambria" w:cstheme="minorHAnsi"/>
        </w:rPr>
        <w:footnoteRef/>
      </w:r>
      <w:r w:rsidRPr="00C77147">
        <w:rPr>
          <w:rFonts w:ascii="Cambria" w:hAnsi="Cambria" w:cstheme="minorHAnsi"/>
          <w:lang w:val="es-CO"/>
        </w:rPr>
        <w:t xml:space="preserve"> Research </w:t>
      </w:r>
      <w:proofErr w:type="spellStart"/>
      <w:r w:rsidRPr="00C77147">
        <w:rPr>
          <w:rFonts w:ascii="Cambria" w:hAnsi="Cambria" w:cstheme="minorHAnsi"/>
          <w:lang w:val="es-CO"/>
        </w:rPr>
        <w:t>conducted</w:t>
      </w:r>
      <w:proofErr w:type="spellEnd"/>
      <w:r w:rsidRPr="00C77147">
        <w:rPr>
          <w:rFonts w:ascii="Cambria" w:hAnsi="Cambria" w:cstheme="minorHAnsi"/>
          <w:lang w:val="es-CO"/>
        </w:rPr>
        <w:t xml:space="preserve"> </w:t>
      </w:r>
      <w:proofErr w:type="spellStart"/>
      <w:r w:rsidRPr="00C77147">
        <w:rPr>
          <w:rFonts w:ascii="Cambria" w:hAnsi="Cambria" w:cstheme="minorHAnsi"/>
          <w:lang w:val="es-CO"/>
        </w:rPr>
        <w:t>by</w:t>
      </w:r>
      <w:proofErr w:type="spellEnd"/>
      <w:r w:rsidRPr="00C77147">
        <w:rPr>
          <w:rFonts w:ascii="Cambria" w:hAnsi="Cambria" w:cstheme="minorHAnsi"/>
          <w:lang w:val="es-CO"/>
        </w:rPr>
        <w:t xml:space="preserve"> </w:t>
      </w:r>
      <w:r w:rsidRPr="00C77147">
        <w:rPr>
          <w:rFonts w:ascii="Cambria" w:hAnsi="Cambria"/>
          <w:lang w:val="es-CO"/>
        </w:rPr>
        <w:t>Comunidad de Derechos Humanos.</w:t>
      </w:r>
    </w:p>
  </w:footnote>
  <w:footnote w:id="13">
    <w:p w14:paraId="40F0E4F8" w14:textId="77777777" w:rsidR="00D97B2B" w:rsidRPr="0059707D" w:rsidRDefault="00D97B2B" w:rsidP="00D97B2B">
      <w:pPr>
        <w:pStyle w:val="FootnoteText"/>
        <w:spacing w:after="120"/>
        <w:rPr>
          <w:rFonts w:ascii="Cambria" w:hAnsi="Cambria" w:cstheme="minorHAnsi"/>
          <w:lang w:val="es-CO"/>
        </w:rPr>
      </w:pPr>
      <w:r w:rsidRPr="0059707D">
        <w:rPr>
          <w:rStyle w:val="FootnoteReference"/>
          <w:rFonts w:ascii="Cambria" w:hAnsi="Cambria" w:cstheme="minorHAnsi"/>
        </w:rPr>
        <w:footnoteRef/>
      </w:r>
      <w:r w:rsidRPr="0059707D">
        <w:rPr>
          <w:rFonts w:ascii="Cambria" w:hAnsi="Cambria" w:cstheme="minorHAnsi"/>
          <w:lang w:val="es-CO"/>
        </w:rPr>
        <w:t xml:space="preserve"> </w:t>
      </w:r>
      <w:r w:rsidRPr="0059707D">
        <w:rPr>
          <w:rFonts w:ascii="Cambria" w:hAnsi="Cambria" w:cstheme="minorHAnsi"/>
          <w:color w:val="FF0000"/>
          <w:lang w:val="es-CO"/>
        </w:rPr>
        <w:t xml:space="preserve"> </w:t>
      </w:r>
      <w:r w:rsidRPr="0059707D">
        <w:rPr>
          <w:rFonts w:ascii="Cambria" w:hAnsi="Cambria" w:cstheme="minorHAnsi"/>
          <w:lang w:val="es-CO"/>
        </w:rPr>
        <w:t xml:space="preserve">Comunidad de Derechos Humanos </w:t>
      </w:r>
      <w:bookmarkStart w:id="4" w:name="_GoBack"/>
      <w:r w:rsidRPr="0059707D">
        <w:rPr>
          <w:rFonts w:ascii="Cambria" w:hAnsi="Cambria" w:cstheme="minorHAnsi"/>
          <w:lang w:val="es-CO"/>
        </w:rPr>
        <w:t xml:space="preserve">interview </w:t>
      </w:r>
      <w:proofErr w:type="spellStart"/>
      <w:r w:rsidRPr="0059707D">
        <w:rPr>
          <w:rFonts w:ascii="Cambria" w:hAnsi="Cambria" w:cstheme="minorHAnsi"/>
          <w:lang w:val="es-CO"/>
        </w:rPr>
        <w:t>with</w:t>
      </w:r>
      <w:bookmarkEnd w:id="4"/>
      <w:proofErr w:type="spellEnd"/>
      <w:r w:rsidRPr="0059707D">
        <w:rPr>
          <w:rFonts w:ascii="Cambria" w:hAnsi="Cambria" w:cstheme="minorHAnsi"/>
          <w:lang w:val="es-CO"/>
        </w:rPr>
        <w:t xml:space="preserve"> Z, 2019 (</w:t>
      </w:r>
      <w:proofErr w:type="spellStart"/>
      <w:r w:rsidRPr="0059707D">
        <w:rPr>
          <w:rFonts w:ascii="Cambria" w:hAnsi="Cambria" w:cstheme="minorHAnsi"/>
          <w:lang w:val="es-CO"/>
        </w:rPr>
        <w:t>name</w:t>
      </w:r>
      <w:proofErr w:type="spellEnd"/>
      <w:r w:rsidRPr="0059707D">
        <w:rPr>
          <w:rFonts w:ascii="Cambria" w:hAnsi="Cambria" w:cstheme="minorHAnsi"/>
          <w:lang w:val="es-CO"/>
        </w:rPr>
        <w:t xml:space="preserve"> </w:t>
      </w:r>
      <w:proofErr w:type="spellStart"/>
      <w:r w:rsidRPr="0059707D">
        <w:rPr>
          <w:rFonts w:ascii="Cambria" w:hAnsi="Cambria" w:cstheme="minorHAnsi"/>
          <w:lang w:val="es-CO"/>
        </w:rPr>
        <w:t>available</w:t>
      </w:r>
      <w:proofErr w:type="spellEnd"/>
      <w:r w:rsidRPr="0059707D">
        <w:rPr>
          <w:rFonts w:ascii="Cambria" w:hAnsi="Cambria" w:cstheme="minorHAnsi"/>
          <w:lang w:val="es-CO"/>
        </w:rPr>
        <w:t xml:space="preserve"> </w:t>
      </w:r>
      <w:proofErr w:type="spellStart"/>
      <w:r w:rsidRPr="0059707D">
        <w:rPr>
          <w:rFonts w:ascii="Cambria" w:hAnsi="Cambria" w:cstheme="minorHAnsi"/>
          <w:lang w:val="es-CO"/>
        </w:rPr>
        <w:t>on</w:t>
      </w:r>
      <w:proofErr w:type="spellEnd"/>
      <w:r w:rsidRPr="0059707D">
        <w:rPr>
          <w:rFonts w:ascii="Cambria" w:hAnsi="Cambria" w:cstheme="minorHAnsi"/>
          <w:lang w:val="es-CO"/>
        </w:rPr>
        <w:t xml:space="preserve"> </w:t>
      </w:r>
      <w:proofErr w:type="spellStart"/>
      <w:r w:rsidRPr="0059707D">
        <w:rPr>
          <w:rFonts w:ascii="Cambria" w:hAnsi="Cambria" w:cstheme="minorHAnsi"/>
          <w:lang w:val="es-CO"/>
        </w:rPr>
        <w:t>request</w:t>
      </w:r>
      <w:proofErr w:type="spellEnd"/>
      <w:r w:rsidRPr="0059707D">
        <w:rPr>
          <w:rFonts w:ascii="Cambria" w:hAnsi="Cambria" w:cstheme="minorHAnsi"/>
          <w:lang w:val="es-CO"/>
        </w:rPr>
        <w:t>).</w:t>
      </w:r>
      <w:r w:rsidRPr="0059707D">
        <w:rPr>
          <w:rFonts w:ascii="Cambria" w:hAnsi="Cambria" w:cstheme="minorHAnsi"/>
          <w:color w:val="FF0000"/>
          <w:lang w:val="es-CO"/>
        </w:rPr>
        <w:t xml:space="preserve"> </w:t>
      </w:r>
    </w:p>
  </w:footnote>
  <w:footnote w:id="14">
    <w:p w14:paraId="748CE5B7" w14:textId="77777777" w:rsidR="00D97B2B" w:rsidRPr="0059707D" w:rsidRDefault="00D97B2B" w:rsidP="00D97B2B">
      <w:pPr>
        <w:pStyle w:val="FootnoteText"/>
        <w:spacing w:after="120"/>
        <w:rPr>
          <w:rFonts w:ascii="Cambria" w:hAnsi="Cambria" w:cstheme="minorHAnsi"/>
          <w:lang w:val="es-CO"/>
        </w:rPr>
      </w:pPr>
      <w:r w:rsidRPr="0059707D">
        <w:rPr>
          <w:rStyle w:val="FootnoteReference"/>
          <w:rFonts w:ascii="Cambria" w:hAnsi="Cambria" w:cstheme="minorHAnsi"/>
        </w:rPr>
        <w:footnoteRef/>
      </w:r>
      <w:r w:rsidRPr="0059707D">
        <w:rPr>
          <w:rFonts w:ascii="Cambria" w:hAnsi="Cambria" w:cstheme="minorHAnsi"/>
          <w:lang w:val="es-CO"/>
        </w:rPr>
        <w:t xml:space="preserve"> Research </w:t>
      </w:r>
      <w:proofErr w:type="spellStart"/>
      <w:r w:rsidRPr="0059707D">
        <w:rPr>
          <w:rFonts w:ascii="Cambria" w:hAnsi="Cambria" w:cstheme="minorHAnsi"/>
          <w:lang w:val="es-CO"/>
        </w:rPr>
        <w:t>conducted</w:t>
      </w:r>
      <w:proofErr w:type="spellEnd"/>
      <w:r w:rsidRPr="0059707D">
        <w:rPr>
          <w:rFonts w:ascii="Cambria" w:hAnsi="Cambria" w:cstheme="minorHAnsi"/>
          <w:lang w:val="es-CO"/>
        </w:rPr>
        <w:t xml:space="preserve"> </w:t>
      </w:r>
      <w:proofErr w:type="spellStart"/>
      <w:r w:rsidRPr="0059707D">
        <w:rPr>
          <w:rFonts w:ascii="Cambria" w:hAnsi="Cambria" w:cstheme="minorHAnsi"/>
          <w:lang w:val="es-CO"/>
        </w:rPr>
        <w:t>by</w:t>
      </w:r>
      <w:proofErr w:type="spellEnd"/>
      <w:r w:rsidRPr="0059707D">
        <w:rPr>
          <w:rFonts w:ascii="Cambria" w:hAnsi="Cambria" w:cstheme="minorHAnsi"/>
          <w:lang w:val="es-CO"/>
        </w:rPr>
        <w:t xml:space="preserve"> </w:t>
      </w:r>
      <w:r w:rsidRPr="0059707D">
        <w:rPr>
          <w:rFonts w:ascii="Cambria" w:hAnsi="Cambria"/>
          <w:lang w:val="es-CO"/>
        </w:rPr>
        <w:t>Comunidad de Derechos Humanos</w:t>
      </w:r>
      <w:r w:rsidRPr="0059707D">
        <w:rPr>
          <w:rFonts w:ascii="Cambria" w:hAnsi="Cambria" w:cstheme="minorHAnsi"/>
          <w:lang w:val="es-CO"/>
        </w:rPr>
        <w:t xml:space="preserve">, </w:t>
      </w:r>
      <w:proofErr w:type="spellStart"/>
      <w:r w:rsidRPr="0059707D">
        <w:rPr>
          <w:rFonts w:ascii="Cambria" w:hAnsi="Cambria" w:cstheme="minorHAnsi"/>
          <w:lang w:val="es-CO"/>
        </w:rPr>
        <w:t>citing</w:t>
      </w:r>
      <w:proofErr w:type="spellEnd"/>
      <w:r w:rsidRPr="0059707D">
        <w:rPr>
          <w:rFonts w:ascii="Cambria" w:hAnsi="Cambria" w:cstheme="minorHAnsi"/>
          <w:lang w:val="es-CO"/>
        </w:rPr>
        <w:t xml:space="preserve">: Comité Nacional Contra el Racismo y Toda Forma de Discriminación, </w:t>
      </w:r>
      <w:r w:rsidRPr="0059707D">
        <w:rPr>
          <w:rFonts w:ascii="Cambria" w:hAnsi="Cambria" w:cstheme="minorHAnsi"/>
          <w:i/>
          <w:iCs/>
          <w:lang w:val="es-CO"/>
        </w:rPr>
        <w:t>Reporte de denuncias de racismo y discriminación,</w:t>
      </w:r>
      <w:r w:rsidRPr="0059707D">
        <w:rPr>
          <w:rFonts w:ascii="Cambria" w:hAnsi="Cambria" w:cstheme="minorHAnsi"/>
          <w:lang w:val="es-CO"/>
        </w:rPr>
        <w:t xml:space="preserve"> </w:t>
      </w:r>
      <w:proofErr w:type="spellStart"/>
      <w:r w:rsidRPr="0059707D">
        <w:rPr>
          <w:rFonts w:ascii="Cambria" w:hAnsi="Cambria" w:cstheme="minorHAnsi"/>
          <w:lang w:val="es-CO"/>
        </w:rPr>
        <w:t>available</w:t>
      </w:r>
      <w:proofErr w:type="spellEnd"/>
      <w:r w:rsidRPr="0059707D">
        <w:rPr>
          <w:rFonts w:ascii="Cambria" w:hAnsi="Cambria" w:cstheme="minorHAnsi"/>
          <w:lang w:val="es-CO"/>
        </w:rPr>
        <w:t xml:space="preserve"> at </w:t>
      </w:r>
      <w:hyperlink r:id="rId1" w:history="1">
        <w:r w:rsidRPr="0059707D">
          <w:rPr>
            <w:rStyle w:val="Hyperlink"/>
            <w:rFonts w:ascii="Cambria" w:hAnsi="Cambria" w:cstheme="minorHAnsi"/>
            <w:lang w:val="es-CO"/>
          </w:rPr>
          <w:t>http://www.noracismo.gob.bo/index.php/reporte-denuncias</w:t>
        </w:r>
      </w:hyperlink>
      <w:r w:rsidRPr="0059707D">
        <w:rPr>
          <w:rFonts w:ascii="Cambria" w:hAnsi="Cambria" w:cstheme="minorHAnsi"/>
          <w:lang w:val="es-CO"/>
        </w:rPr>
        <w:t>.</w:t>
      </w:r>
    </w:p>
  </w:footnote>
  <w:footnote w:id="15">
    <w:p w14:paraId="635E3381" w14:textId="7C5E4B47" w:rsidR="00330704" w:rsidRPr="00C77147" w:rsidRDefault="00330704" w:rsidP="00C77147">
      <w:pPr>
        <w:pStyle w:val="FootnoteText"/>
        <w:spacing w:after="200"/>
        <w:rPr>
          <w:rFonts w:ascii="Cambria" w:hAnsi="Cambria"/>
        </w:rPr>
      </w:pPr>
      <w:r w:rsidRPr="00C77147">
        <w:rPr>
          <w:rStyle w:val="FootnoteReference"/>
          <w:rFonts w:ascii="Cambria" w:hAnsi="Cambria"/>
        </w:rPr>
        <w:footnoteRef/>
      </w:r>
      <w:r w:rsidRPr="00C77147">
        <w:rPr>
          <w:rFonts w:ascii="Cambria" w:hAnsi="Cambria"/>
        </w:rPr>
        <w:t xml:space="preserve"> Equal Rights Trust, </w:t>
      </w:r>
      <w:r w:rsidRPr="00C77147">
        <w:rPr>
          <w:rFonts w:ascii="Cambria" w:hAnsi="Cambria"/>
          <w:i/>
          <w:iCs/>
        </w:rPr>
        <w:t>A Past Still Present: Addressing Discrimination and Inequality in Egypt</w:t>
      </w:r>
      <w:r w:rsidRPr="00C77147">
        <w:rPr>
          <w:rFonts w:ascii="Cambria" w:hAnsi="Cambria"/>
        </w:rPr>
        <w:t xml:space="preserve">, 2018, pp. 53-54, available at: </w:t>
      </w:r>
      <w:hyperlink r:id="rId2" w:history="1">
        <w:r w:rsidRPr="00C77147">
          <w:rPr>
            <w:rStyle w:val="Hyperlink"/>
            <w:rFonts w:ascii="Cambria" w:hAnsi="Cambria"/>
          </w:rPr>
          <w:t>https://www.equalrightstrust.org/ertdocumentbank/Egypt_EN_online.pdf</w:t>
        </w:r>
      </w:hyperlink>
      <w:r w:rsidRPr="00C77147">
        <w:rPr>
          <w:rFonts w:ascii="Cambria" w:hAnsi="Cambria"/>
        </w:rPr>
        <w:t xml:space="preserve"> </w:t>
      </w:r>
    </w:p>
  </w:footnote>
  <w:footnote w:id="16">
    <w:p w14:paraId="7D6A29ED" w14:textId="439C6A74" w:rsidR="00355F3D" w:rsidRPr="00C77147" w:rsidRDefault="00355F3D" w:rsidP="00C77147">
      <w:pPr>
        <w:pStyle w:val="FootnoteText"/>
        <w:spacing w:after="200"/>
        <w:rPr>
          <w:rFonts w:ascii="Cambria" w:hAnsi="Cambria" w:cstheme="minorHAnsi"/>
        </w:rPr>
      </w:pPr>
      <w:r w:rsidRPr="00C77147">
        <w:rPr>
          <w:rStyle w:val="FootnoteReference"/>
          <w:rFonts w:ascii="Cambria" w:hAnsi="Cambria" w:cstheme="minorHAnsi"/>
        </w:rPr>
        <w:footnoteRef/>
      </w:r>
      <w:r w:rsidRPr="00C77147">
        <w:rPr>
          <w:rFonts w:ascii="Cambria" w:hAnsi="Cambria" w:cstheme="minorHAnsi"/>
        </w:rPr>
        <w:t xml:space="preserve"> H</w:t>
      </w:r>
      <w:r w:rsidR="00997EE9" w:rsidRPr="00C77147">
        <w:rPr>
          <w:rFonts w:ascii="Cambria" w:hAnsi="Cambria" w:cstheme="minorHAnsi"/>
        </w:rPr>
        <w:t>uman Rights Committee,</w:t>
      </w:r>
      <w:r w:rsidRPr="00C77147">
        <w:rPr>
          <w:rFonts w:ascii="Cambria" w:hAnsi="Cambria" w:cstheme="minorHAnsi"/>
        </w:rPr>
        <w:t xml:space="preserve"> </w:t>
      </w:r>
      <w:r w:rsidRPr="00C77147">
        <w:rPr>
          <w:rFonts w:ascii="Cambria" w:hAnsi="Cambria" w:cstheme="minorHAnsi"/>
          <w:i/>
          <w:iCs/>
        </w:rPr>
        <w:t>General Comment No 18: Non-</w:t>
      </w:r>
      <w:r w:rsidR="008C043B" w:rsidRPr="00C77147">
        <w:rPr>
          <w:rFonts w:ascii="Cambria" w:hAnsi="Cambria" w:cstheme="minorHAnsi"/>
          <w:i/>
          <w:iCs/>
        </w:rPr>
        <w:t>D</w:t>
      </w:r>
      <w:r w:rsidRPr="00C77147">
        <w:rPr>
          <w:rFonts w:ascii="Cambria" w:hAnsi="Cambria" w:cstheme="minorHAnsi"/>
          <w:i/>
          <w:iCs/>
        </w:rPr>
        <w:t xml:space="preserve">iscrimination, </w:t>
      </w:r>
      <w:r w:rsidRPr="00C77147">
        <w:rPr>
          <w:rFonts w:ascii="Cambria" w:hAnsi="Cambria" w:cstheme="minorHAnsi"/>
        </w:rPr>
        <w:t xml:space="preserve">1989, </w:t>
      </w:r>
      <w:r w:rsidR="00997EE9" w:rsidRPr="00C77147">
        <w:rPr>
          <w:rFonts w:ascii="Cambria" w:hAnsi="Cambria" w:cstheme="minorHAnsi"/>
        </w:rPr>
        <w:t xml:space="preserve">HRI/GEN/1/Rev.6 at 146 (2003), </w:t>
      </w:r>
      <w:r w:rsidRPr="00C77147">
        <w:rPr>
          <w:rFonts w:ascii="Cambria" w:hAnsi="Cambria" w:cstheme="minorHAnsi"/>
        </w:rPr>
        <w:t xml:space="preserve">Para 7. </w:t>
      </w:r>
    </w:p>
  </w:footnote>
  <w:footnote w:id="17">
    <w:p w14:paraId="374D6400" w14:textId="3F31DB7A" w:rsidR="00E95845" w:rsidRPr="0059707D" w:rsidRDefault="00E95845" w:rsidP="00E95845">
      <w:pPr>
        <w:pStyle w:val="FootnoteText"/>
        <w:spacing w:after="120"/>
        <w:rPr>
          <w:rFonts w:ascii="Cambria" w:hAnsi="Cambria" w:cstheme="minorHAnsi"/>
        </w:rPr>
      </w:pPr>
      <w:r w:rsidRPr="0059707D">
        <w:rPr>
          <w:rStyle w:val="FootnoteReference"/>
          <w:rFonts w:ascii="Cambria" w:hAnsi="Cambria" w:cstheme="minorHAnsi"/>
        </w:rPr>
        <w:footnoteRef/>
      </w:r>
      <w:r w:rsidRPr="0059707D">
        <w:rPr>
          <w:rFonts w:ascii="Cambria" w:hAnsi="Cambria" w:cstheme="minorHAnsi"/>
        </w:rPr>
        <w:t xml:space="preserve"> Committee on Economic, Social and Cultural Rights, </w:t>
      </w:r>
      <w:r w:rsidRPr="0059707D">
        <w:rPr>
          <w:rFonts w:ascii="Cambria" w:hAnsi="Cambria" w:cstheme="minorHAnsi"/>
          <w:i/>
        </w:rPr>
        <w:t>General Comment No. 20:  Non-discrimination in economic, social and cultural rights (Article 2, Para 2, of the International Covenant on Economic, Social and Cultural Rights),</w:t>
      </w:r>
      <w:r w:rsidRPr="0059707D">
        <w:rPr>
          <w:rFonts w:ascii="Cambria" w:hAnsi="Cambria" w:cstheme="minorHAnsi"/>
        </w:rPr>
        <w:t xml:space="preserve"> UN Doc.</w:t>
      </w:r>
      <w:r w:rsidRPr="0059707D">
        <w:rPr>
          <w:rFonts w:ascii="Cambria" w:hAnsi="Cambria" w:cstheme="minorHAnsi"/>
          <w:i/>
        </w:rPr>
        <w:t xml:space="preserve"> </w:t>
      </w:r>
      <w:r w:rsidRPr="0059707D">
        <w:rPr>
          <w:rFonts w:ascii="Cambria" w:hAnsi="Cambria" w:cstheme="minorHAnsi"/>
        </w:rPr>
        <w:t>E/C.12/GC/20, 2009, Para 40.</w:t>
      </w:r>
    </w:p>
  </w:footnote>
  <w:footnote w:id="18">
    <w:p w14:paraId="7CAF25AB" w14:textId="797A3B1C" w:rsidR="00355F3D" w:rsidRPr="00C77147" w:rsidRDefault="00355F3D" w:rsidP="00C77147">
      <w:pPr>
        <w:pStyle w:val="FootnoteText"/>
        <w:spacing w:after="200"/>
        <w:rPr>
          <w:rFonts w:ascii="Cambria" w:hAnsi="Cambria" w:cstheme="minorHAnsi"/>
        </w:rPr>
      </w:pPr>
      <w:r w:rsidRPr="00C77147">
        <w:rPr>
          <w:rStyle w:val="FootnoteReference"/>
          <w:rFonts w:ascii="Cambria" w:hAnsi="Cambria" w:cstheme="minorHAnsi"/>
        </w:rPr>
        <w:footnoteRef/>
      </w:r>
      <w:r w:rsidRPr="00C77147">
        <w:rPr>
          <w:rFonts w:ascii="Cambria" w:hAnsi="Cambria" w:cstheme="minorHAnsi"/>
        </w:rPr>
        <w:t xml:space="preserve"> I</w:t>
      </w:r>
      <w:r w:rsidR="00997EE9" w:rsidRPr="00C77147">
        <w:rPr>
          <w:rFonts w:ascii="Cambria" w:hAnsi="Cambria" w:cstheme="minorHAnsi"/>
        </w:rPr>
        <w:t>nternational Covenant on Civil and Political Rights</w:t>
      </w:r>
      <w:r w:rsidRPr="00C77147">
        <w:rPr>
          <w:rFonts w:ascii="Cambria" w:hAnsi="Cambria" w:cstheme="minorHAnsi"/>
        </w:rPr>
        <w:t xml:space="preserve">, Article 14(2). </w:t>
      </w:r>
    </w:p>
  </w:footnote>
  <w:footnote w:id="19">
    <w:p w14:paraId="2AE83D1A" w14:textId="12681B0B" w:rsidR="00355F3D" w:rsidRPr="00C276ED" w:rsidRDefault="00355F3D" w:rsidP="00C77147">
      <w:pPr>
        <w:pStyle w:val="FootnoteText"/>
        <w:spacing w:after="200"/>
        <w:rPr>
          <w:rFonts w:ascii="Cambria" w:hAnsi="Cambria"/>
          <w:color w:val="FF0000"/>
          <w:lang w:val="es-CO"/>
        </w:rPr>
      </w:pPr>
      <w:r w:rsidRPr="00C77147">
        <w:rPr>
          <w:rStyle w:val="FootnoteReference"/>
          <w:rFonts w:ascii="Cambria" w:hAnsi="Cambria"/>
        </w:rPr>
        <w:footnoteRef/>
      </w:r>
      <w:r w:rsidRPr="00C276ED">
        <w:rPr>
          <w:rFonts w:ascii="Cambria" w:hAnsi="Cambria"/>
          <w:lang w:val="es-CO"/>
        </w:rPr>
        <w:t xml:space="preserve"> </w:t>
      </w:r>
      <w:bookmarkStart w:id="5" w:name="_Hlk18943363"/>
      <w:proofErr w:type="spellStart"/>
      <w:r w:rsidR="00997EE9" w:rsidRPr="00C276ED">
        <w:rPr>
          <w:rFonts w:ascii="Cambria" w:hAnsi="Cambria"/>
          <w:lang w:val="es-CO"/>
        </w:rPr>
        <w:t>See</w:t>
      </w:r>
      <w:proofErr w:type="spellEnd"/>
      <w:r w:rsidR="00997EE9" w:rsidRPr="00C276ED">
        <w:rPr>
          <w:rFonts w:ascii="Cambria" w:hAnsi="Cambria"/>
          <w:lang w:val="es-CO"/>
        </w:rPr>
        <w:t xml:space="preserve"> </w:t>
      </w:r>
      <w:proofErr w:type="spellStart"/>
      <w:r w:rsidR="00997EE9" w:rsidRPr="00C276ED">
        <w:rPr>
          <w:rFonts w:ascii="Cambria" w:hAnsi="Cambria"/>
          <w:lang w:val="es-CO"/>
        </w:rPr>
        <w:t>above</w:t>
      </w:r>
      <w:proofErr w:type="spellEnd"/>
      <w:r w:rsidR="00997EE9" w:rsidRPr="00C276ED">
        <w:rPr>
          <w:rFonts w:ascii="Cambria" w:hAnsi="Cambria"/>
          <w:lang w:val="es-CO"/>
        </w:rPr>
        <w:t xml:space="preserve">, note </w:t>
      </w:r>
      <w:r w:rsidR="0086401A" w:rsidRPr="00C276ED">
        <w:rPr>
          <w:rFonts w:ascii="Cambria" w:hAnsi="Cambria"/>
          <w:lang w:val="es-CO"/>
        </w:rPr>
        <w:t>3</w:t>
      </w:r>
      <w:r w:rsidRPr="00C276ED">
        <w:rPr>
          <w:rFonts w:ascii="Cambria" w:hAnsi="Cambria"/>
          <w:lang w:val="es-CO"/>
        </w:rPr>
        <w:t xml:space="preserve">, </w:t>
      </w:r>
      <w:proofErr w:type="spellStart"/>
      <w:r w:rsidRPr="00C276ED">
        <w:rPr>
          <w:rFonts w:ascii="Cambria" w:hAnsi="Cambria"/>
          <w:lang w:val="es-CO"/>
        </w:rPr>
        <w:t>Principle</w:t>
      </w:r>
      <w:proofErr w:type="spellEnd"/>
      <w:r w:rsidRPr="00C276ED">
        <w:rPr>
          <w:rFonts w:ascii="Cambria" w:hAnsi="Cambria"/>
          <w:lang w:val="es-CO"/>
        </w:rPr>
        <w:t xml:space="preserve"> 5</w:t>
      </w:r>
      <w:r w:rsidR="0086401A" w:rsidRPr="00C276ED">
        <w:rPr>
          <w:rFonts w:ascii="Cambria" w:hAnsi="Cambria"/>
          <w:lang w:val="es-CO"/>
        </w:rPr>
        <w:t>.</w:t>
      </w:r>
      <w:bookmarkEnd w:id="5"/>
    </w:p>
  </w:footnote>
  <w:footnote w:id="20">
    <w:p w14:paraId="3A103A8C" w14:textId="203773FE" w:rsidR="00355F3D" w:rsidRPr="00C276ED" w:rsidRDefault="00355F3D" w:rsidP="00C77147">
      <w:pPr>
        <w:pStyle w:val="FootnoteText"/>
        <w:spacing w:after="200"/>
        <w:rPr>
          <w:rFonts w:ascii="Cambria" w:hAnsi="Cambria" w:cstheme="minorHAnsi"/>
        </w:rPr>
      </w:pPr>
      <w:r w:rsidRPr="00C276ED">
        <w:rPr>
          <w:rStyle w:val="FootnoteReference"/>
          <w:rFonts w:ascii="Cambria" w:hAnsi="Cambria" w:cstheme="minorHAnsi"/>
        </w:rPr>
        <w:footnoteRef/>
      </w:r>
      <w:r w:rsidRPr="00C276ED">
        <w:rPr>
          <w:rFonts w:ascii="Cambria" w:hAnsi="Cambria" w:cstheme="minorHAnsi"/>
          <w:lang w:val="es-CO"/>
        </w:rPr>
        <w:t xml:space="preserve"> </w:t>
      </w:r>
      <w:r w:rsidR="00DF4BDA" w:rsidRPr="00C276ED">
        <w:rPr>
          <w:rFonts w:ascii="Cambria" w:hAnsi="Cambria" w:cstheme="minorHAnsi"/>
          <w:lang w:val="es-CO"/>
        </w:rPr>
        <w:t>Diario</w:t>
      </w:r>
      <w:r w:rsidR="00DF4BDA" w:rsidRPr="0059707D">
        <w:rPr>
          <w:rFonts w:ascii="Cambria" w:hAnsi="Cambria" w:cstheme="minorHAnsi"/>
          <w:lang w:val="es-CO"/>
        </w:rPr>
        <w:t xml:space="preserve"> Página Siete, “Se presentan hasta 220 denuncias por discriminación y racismo al año”, </w:t>
      </w:r>
      <w:r w:rsidR="00DF4BDA" w:rsidRPr="0059707D">
        <w:rPr>
          <w:rFonts w:ascii="Cambria" w:hAnsi="Cambria" w:cstheme="minorHAnsi"/>
          <w:i/>
          <w:iCs/>
          <w:lang w:val="es-CO"/>
        </w:rPr>
        <w:t xml:space="preserve">Diario </w:t>
      </w:r>
      <w:proofErr w:type="spellStart"/>
      <w:r w:rsidR="00DF4BDA" w:rsidRPr="0059707D">
        <w:rPr>
          <w:rFonts w:ascii="Cambria" w:hAnsi="Cambria" w:cstheme="minorHAnsi"/>
          <w:i/>
          <w:iCs/>
          <w:lang w:val="es-CO"/>
        </w:rPr>
        <w:t>Pagina</w:t>
      </w:r>
      <w:proofErr w:type="spellEnd"/>
      <w:r w:rsidR="00DF4BDA" w:rsidRPr="0059707D">
        <w:rPr>
          <w:rFonts w:ascii="Cambria" w:hAnsi="Cambria" w:cstheme="minorHAnsi"/>
          <w:i/>
          <w:iCs/>
          <w:lang w:val="es-CO"/>
        </w:rPr>
        <w:t xml:space="preserve"> Siete, </w:t>
      </w:r>
      <w:r w:rsidR="00DF4BDA" w:rsidRPr="0059707D">
        <w:rPr>
          <w:rFonts w:ascii="Cambria" w:hAnsi="Cambria" w:cstheme="minorHAnsi"/>
          <w:lang w:val="es-CO"/>
        </w:rPr>
        <w:t xml:space="preserve">24 May 2018. </w:t>
      </w:r>
      <w:r w:rsidR="00C276ED" w:rsidRPr="00C276ED">
        <w:rPr>
          <w:rFonts w:ascii="Cambria" w:hAnsi="Cambria" w:cstheme="minorHAnsi"/>
        </w:rPr>
        <w:t>A</w:t>
      </w:r>
      <w:r w:rsidR="00DF4BDA" w:rsidRPr="00C276ED">
        <w:rPr>
          <w:rFonts w:ascii="Cambria" w:hAnsi="Cambria" w:cstheme="minorHAnsi"/>
        </w:rPr>
        <w:t xml:space="preserve">vailable at: </w:t>
      </w:r>
      <w:hyperlink r:id="rId3" w:history="1">
        <w:r w:rsidR="00DF4BDA" w:rsidRPr="00C276ED">
          <w:rPr>
            <w:rStyle w:val="Hyperlink"/>
            <w:rFonts w:ascii="Cambria" w:hAnsi="Cambria" w:cstheme="minorHAnsi"/>
            <w:color w:val="auto"/>
            <w:u w:val="none"/>
          </w:rPr>
          <w:t>https://www.paginasiete.bo/sociedad/2018/5/24/se-presentan-hasta-220-denuncias-por-discriminacion-racismo-al-ano-181054.html</w:t>
        </w:r>
      </w:hyperlink>
    </w:p>
  </w:footnote>
  <w:footnote w:id="21">
    <w:p w14:paraId="760EA10D" w14:textId="62D5D4DF" w:rsidR="00355F3D" w:rsidRPr="00C77147" w:rsidRDefault="00355F3D" w:rsidP="00C276ED">
      <w:pPr>
        <w:pStyle w:val="FootnoteText"/>
        <w:spacing w:after="200"/>
        <w:jc w:val="both"/>
        <w:rPr>
          <w:rFonts w:ascii="Cambria" w:hAnsi="Cambria" w:cstheme="minorHAnsi"/>
          <w:lang w:val="es-CO"/>
        </w:rPr>
      </w:pPr>
      <w:r w:rsidRPr="00C77147">
        <w:rPr>
          <w:rStyle w:val="FootnoteReference"/>
          <w:rFonts w:ascii="Cambria" w:hAnsi="Cambria" w:cstheme="minorHAnsi"/>
        </w:rPr>
        <w:footnoteRef/>
      </w:r>
      <w:r w:rsidRPr="00C77147">
        <w:rPr>
          <w:rFonts w:ascii="Cambria" w:hAnsi="Cambria" w:cstheme="minorHAnsi"/>
          <w:lang w:val="es-CO"/>
        </w:rPr>
        <w:t xml:space="preserve"> Gutiérrez, Fabiola, “Discriminación: la ley influyó en los dichos, pero no en los hechos”, </w:t>
      </w:r>
      <w:hyperlink r:id="rId4" w:history="1">
        <w:r w:rsidRPr="00C77147">
          <w:rPr>
            <w:rStyle w:val="Hyperlink"/>
            <w:rFonts w:ascii="Cambria" w:hAnsi="Cambria" w:cstheme="minorHAnsi"/>
            <w:color w:val="auto"/>
            <w:u w:val="none"/>
            <w:lang w:val="es-CO"/>
          </w:rPr>
          <w:t>https://social.shorthand.com/fagutierrez7/32cHnpAcYUf/discriminacion-la-ley-influyo-en-los-dichos-pero-no-en-los-hechos</w:t>
        </w:r>
      </w:hyperlink>
      <w:r w:rsidRPr="00C77147">
        <w:rPr>
          <w:rFonts w:ascii="Cambria" w:hAnsi="Cambria" w:cstheme="minorHAnsi"/>
          <w:lang w:val="es-CO"/>
        </w:rPr>
        <w:t xml:space="preserve">; </w:t>
      </w:r>
      <w:r w:rsidR="00C276ED" w:rsidRPr="0059707D">
        <w:rPr>
          <w:rFonts w:ascii="Cambria" w:hAnsi="Cambria" w:cstheme="minorHAnsi"/>
          <w:lang w:val="es-CO"/>
        </w:rPr>
        <w:t xml:space="preserve">Comunidad de Derechos Humanos interview </w:t>
      </w:r>
      <w:proofErr w:type="spellStart"/>
      <w:r w:rsidR="00C276ED" w:rsidRPr="0059707D">
        <w:rPr>
          <w:rFonts w:ascii="Cambria" w:hAnsi="Cambria" w:cstheme="minorHAnsi"/>
          <w:lang w:val="es-CO"/>
        </w:rPr>
        <w:t>with</w:t>
      </w:r>
      <w:proofErr w:type="spellEnd"/>
      <w:r w:rsidR="00C276ED" w:rsidRPr="0059707D">
        <w:rPr>
          <w:rFonts w:ascii="Cambria" w:hAnsi="Cambria" w:cstheme="minorHAnsi"/>
          <w:lang w:val="es-CO"/>
        </w:rPr>
        <w:t xml:space="preserve"> A, 2019 (</w:t>
      </w:r>
      <w:proofErr w:type="spellStart"/>
      <w:r w:rsidR="00C276ED" w:rsidRPr="0059707D">
        <w:rPr>
          <w:rFonts w:ascii="Cambria" w:hAnsi="Cambria" w:cstheme="minorHAnsi"/>
          <w:lang w:val="es-CO"/>
        </w:rPr>
        <w:t>name</w:t>
      </w:r>
      <w:proofErr w:type="spellEnd"/>
      <w:r w:rsidR="00C276ED" w:rsidRPr="0059707D">
        <w:rPr>
          <w:rFonts w:ascii="Cambria" w:hAnsi="Cambria" w:cstheme="minorHAnsi"/>
          <w:lang w:val="es-CO"/>
        </w:rPr>
        <w:t xml:space="preserve"> </w:t>
      </w:r>
      <w:proofErr w:type="spellStart"/>
      <w:r w:rsidR="00C276ED" w:rsidRPr="0059707D">
        <w:rPr>
          <w:rFonts w:ascii="Cambria" w:hAnsi="Cambria" w:cstheme="minorHAnsi"/>
          <w:lang w:val="es-CO"/>
        </w:rPr>
        <w:t>available</w:t>
      </w:r>
      <w:proofErr w:type="spellEnd"/>
      <w:r w:rsidR="00C276ED" w:rsidRPr="0059707D">
        <w:rPr>
          <w:rFonts w:ascii="Cambria" w:hAnsi="Cambria" w:cstheme="minorHAnsi"/>
          <w:lang w:val="es-CO"/>
        </w:rPr>
        <w:t xml:space="preserve"> </w:t>
      </w:r>
      <w:proofErr w:type="spellStart"/>
      <w:r w:rsidR="00C276ED" w:rsidRPr="0059707D">
        <w:rPr>
          <w:rFonts w:ascii="Cambria" w:hAnsi="Cambria" w:cstheme="minorHAnsi"/>
          <w:lang w:val="es-CO"/>
        </w:rPr>
        <w:t>on</w:t>
      </w:r>
      <w:proofErr w:type="spellEnd"/>
      <w:r w:rsidR="00C276ED" w:rsidRPr="0059707D">
        <w:rPr>
          <w:rFonts w:ascii="Cambria" w:hAnsi="Cambria" w:cstheme="minorHAnsi"/>
          <w:lang w:val="es-CO"/>
        </w:rPr>
        <w:t xml:space="preserve"> </w:t>
      </w:r>
      <w:proofErr w:type="spellStart"/>
      <w:r w:rsidR="00C276ED" w:rsidRPr="0059707D">
        <w:rPr>
          <w:rFonts w:ascii="Cambria" w:hAnsi="Cambria" w:cstheme="minorHAnsi"/>
          <w:lang w:val="es-CO"/>
        </w:rPr>
        <w:t>request</w:t>
      </w:r>
      <w:proofErr w:type="spellEnd"/>
      <w:r w:rsidR="00C276ED" w:rsidRPr="0059707D">
        <w:rPr>
          <w:rFonts w:ascii="Cambria" w:hAnsi="Cambria" w:cstheme="minorHAnsi"/>
          <w:lang w:val="es-CO"/>
        </w:rPr>
        <w:t>)</w:t>
      </w:r>
      <w:r w:rsidR="00C276ED">
        <w:rPr>
          <w:rFonts w:ascii="Cambria" w:hAnsi="Cambria" w:cstheme="minorHAnsi"/>
          <w:lang w:val="es-CO"/>
        </w:rPr>
        <w:t>;</w:t>
      </w:r>
      <w:r w:rsidR="00C276ED" w:rsidRPr="0059707D">
        <w:rPr>
          <w:rFonts w:ascii="Cambria" w:hAnsi="Cambria" w:cstheme="minorHAnsi"/>
          <w:color w:val="FF0000"/>
          <w:lang w:val="es-CO"/>
        </w:rPr>
        <w:t xml:space="preserve"> </w:t>
      </w:r>
      <w:r w:rsidR="00C276ED" w:rsidRPr="0059707D">
        <w:rPr>
          <w:rFonts w:ascii="Cambria" w:hAnsi="Cambria" w:cstheme="minorHAnsi"/>
          <w:lang w:val="es-CO"/>
        </w:rPr>
        <w:t xml:space="preserve">Comunidad de Derechos Humanos interview </w:t>
      </w:r>
      <w:proofErr w:type="spellStart"/>
      <w:r w:rsidR="00C276ED" w:rsidRPr="0059707D">
        <w:rPr>
          <w:rFonts w:ascii="Cambria" w:hAnsi="Cambria" w:cstheme="minorHAnsi"/>
          <w:lang w:val="es-CO"/>
        </w:rPr>
        <w:t>with</w:t>
      </w:r>
      <w:proofErr w:type="spellEnd"/>
      <w:r w:rsidR="00C276ED" w:rsidRPr="0059707D">
        <w:rPr>
          <w:rFonts w:ascii="Cambria" w:hAnsi="Cambria" w:cstheme="minorHAnsi"/>
          <w:lang w:val="es-CO"/>
        </w:rPr>
        <w:t xml:space="preserve"> Z, 2019 (</w:t>
      </w:r>
      <w:proofErr w:type="spellStart"/>
      <w:r w:rsidR="00C276ED" w:rsidRPr="0059707D">
        <w:rPr>
          <w:rFonts w:ascii="Cambria" w:hAnsi="Cambria" w:cstheme="minorHAnsi"/>
          <w:lang w:val="es-CO"/>
        </w:rPr>
        <w:t>name</w:t>
      </w:r>
      <w:proofErr w:type="spellEnd"/>
      <w:r w:rsidR="00C276ED" w:rsidRPr="0059707D">
        <w:rPr>
          <w:rFonts w:ascii="Cambria" w:hAnsi="Cambria" w:cstheme="minorHAnsi"/>
          <w:lang w:val="es-CO"/>
        </w:rPr>
        <w:t xml:space="preserve"> </w:t>
      </w:r>
      <w:proofErr w:type="spellStart"/>
      <w:r w:rsidR="00C276ED" w:rsidRPr="0059707D">
        <w:rPr>
          <w:rFonts w:ascii="Cambria" w:hAnsi="Cambria" w:cstheme="minorHAnsi"/>
          <w:lang w:val="es-CO"/>
        </w:rPr>
        <w:t>available</w:t>
      </w:r>
      <w:proofErr w:type="spellEnd"/>
      <w:r w:rsidR="00C276ED" w:rsidRPr="0059707D">
        <w:rPr>
          <w:rFonts w:ascii="Cambria" w:hAnsi="Cambria" w:cstheme="minorHAnsi"/>
          <w:lang w:val="es-CO"/>
        </w:rPr>
        <w:t xml:space="preserve"> </w:t>
      </w:r>
      <w:proofErr w:type="spellStart"/>
      <w:r w:rsidR="00C276ED" w:rsidRPr="0059707D">
        <w:rPr>
          <w:rFonts w:ascii="Cambria" w:hAnsi="Cambria" w:cstheme="minorHAnsi"/>
          <w:lang w:val="es-CO"/>
        </w:rPr>
        <w:t>on</w:t>
      </w:r>
      <w:proofErr w:type="spellEnd"/>
      <w:r w:rsidR="00C276ED" w:rsidRPr="0059707D">
        <w:rPr>
          <w:rFonts w:ascii="Cambria" w:hAnsi="Cambria" w:cstheme="minorHAnsi"/>
          <w:lang w:val="es-CO"/>
        </w:rPr>
        <w:t xml:space="preserve"> </w:t>
      </w:r>
      <w:proofErr w:type="spellStart"/>
      <w:r w:rsidR="00C276ED" w:rsidRPr="0059707D">
        <w:rPr>
          <w:rFonts w:ascii="Cambria" w:hAnsi="Cambria" w:cstheme="minorHAnsi"/>
          <w:lang w:val="es-CO"/>
        </w:rPr>
        <w:t>request</w:t>
      </w:r>
      <w:proofErr w:type="spellEnd"/>
      <w:r w:rsidR="00C276ED" w:rsidRPr="0059707D">
        <w:rPr>
          <w:rFonts w:ascii="Cambria" w:hAnsi="Cambria" w:cstheme="minorHAnsi"/>
          <w:lang w:val="es-CO"/>
        </w:rPr>
        <w:t>).</w:t>
      </w:r>
      <w:r w:rsidR="00C276ED" w:rsidRPr="0059707D">
        <w:rPr>
          <w:rFonts w:ascii="Cambria" w:hAnsi="Cambria" w:cstheme="minorHAnsi"/>
          <w:color w:val="FF0000"/>
          <w:lang w:val="es-CO"/>
        </w:rPr>
        <w:t xml:space="preserve">  </w:t>
      </w:r>
      <w:r w:rsidRPr="00C77147">
        <w:rPr>
          <w:rFonts w:ascii="Cambria" w:hAnsi="Cambria" w:cstheme="minorHAnsi"/>
          <w:color w:val="FF0000"/>
          <w:lang w:val="es-CO"/>
        </w:rPr>
        <w:t xml:space="preserve"> </w:t>
      </w:r>
    </w:p>
  </w:footnote>
  <w:footnote w:id="22">
    <w:p w14:paraId="41A2B517" w14:textId="664DE136" w:rsidR="00F7310E" w:rsidRDefault="00F7310E">
      <w:pPr>
        <w:pStyle w:val="FootnoteText"/>
      </w:pPr>
      <w:r>
        <w:rPr>
          <w:rStyle w:val="FootnoteReference"/>
        </w:rPr>
        <w:footnoteRef/>
      </w:r>
      <w:r>
        <w:t xml:space="preserve"> </w:t>
      </w:r>
      <w:hyperlink r:id="rId5" w:history="1">
        <w:r w:rsidRPr="00C276ED">
          <w:rPr>
            <w:rStyle w:val="Hyperlink"/>
          </w:rPr>
          <w:t>https://jurisprudencia.tcpbolivia.bo/</w:t>
        </w:r>
      </w:hyperlink>
    </w:p>
    <w:p w14:paraId="54C5BC2B" w14:textId="77777777" w:rsidR="00F7310E" w:rsidRDefault="00F7310E">
      <w:pPr>
        <w:pStyle w:val="FootnoteText"/>
      </w:pPr>
    </w:p>
  </w:footnote>
  <w:footnote w:id="23">
    <w:p w14:paraId="14C5AAD5" w14:textId="62F700AF" w:rsidR="008C043B" w:rsidRPr="00C77147" w:rsidRDefault="008C043B" w:rsidP="00C77147">
      <w:pPr>
        <w:pStyle w:val="FootnoteText"/>
        <w:spacing w:after="200"/>
        <w:rPr>
          <w:rFonts w:ascii="Cambria" w:hAnsi="Cambria"/>
        </w:rPr>
      </w:pPr>
      <w:r w:rsidRPr="00C77147">
        <w:rPr>
          <w:rStyle w:val="FootnoteReference"/>
          <w:rFonts w:ascii="Cambria" w:hAnsi="Cambria"/>
        </w:rPr>
        <w:footnoteRef/>
      </w:r>
      <w:r w:rsidRPr="00C77147">
        <w:rPr>
          <w:rFonts w:ascii="Cambria" w:hAnsi="Cambria"/>
        </w:rPr>
        <w:t xml:space="preserve"> Human Rights Committee, </w:t>
      </w:r>
      <w:r w:rsidRPr="00C77147">
        <w:rPr>
          <w:rFonts w:ascii="Cambria" w:hAnsi="Cambria"/>
          <w:i/>
          <w:iCs/>
        </w:rPr>
        <w:t>Concluding Observations</w:t>
      </w:r>
      <w:r w:rsidRPr="00C77147">
        <w:rPr>
          <w:rFonts w:ascii="Cambria" w:hAnsi="Cambria"/>
        </w:rPr>
        <w:t xml:space="preserve">: </w:t>
      </w:r>
      <w:r w:rsidRPr="00C77147">
        <w:rPr>
          <w:rFonts w:ascii="Cambria" w:hAnsi="Cambria"/>
          <w:i/>
          <w:iCs/>
        </w:rPr>
        <w:t>Bolivia</w:t>
      </w:r>
      <w:r w:rsidRPr="00C77147">
        <w:rPr>
          <w:rFonts w:ascii="Cambria" w:hAnsi="Cambria"/>
        </w:rPr>
        <w:t xml:space="preserve">, UN Doc. CCPR/C/BOL/CO/3, </w:t>
      </w:r>
      <w:r w:rsidR="00941DA5" w:rsidRPr="00C77147">
        <w:rPr>
          <w:rFonts w:ascii="Cambria" w:hAnsi="Cambria"/>
        </w:rPr>
        <w:t>6 December 2013, Para 7.</w:t>
      </w:r>
    </w:p>
  </w:footnote>
  <w:footnote w:id="24">
    <w:p w14:paraId="5EC402A8" w14:textId="23BA1739" w:rsidR="003B5A15" w:rsidRPr="00C276ED" w:rsidRDefault="003B5A15" w:rsidP="00C77147">
      <w:pPr>
        <w:pStyle w:val="FootnoteText"/>
        <w:spacing w:after="200"/>
        <w:rPr>
          <w:rFonts w:ascii="Cambria" w:hAnsi="Cambria" w:cstheme="minorHAnsi"/>
        </w:rPr>
      </w:pPr>
      <w:r w:rsidRPr="00C77147">
        <w:rPr>
          <w:rStyle w:val="FootnoteReference"/>
          <w:rFonts w:ascii="Cambria" w:hAnsi="Cambria" w:cstheme="minorHAnsi"/>
        </w:rPr>
        <w:footnoteRef/>
      </w:r>
      <w:r w:rsidRPr="00C276ED">
        <w:rPr>
          <w:rFonts w:ascii="Cambria" w:hAnsi="Cambria" w:cstheme="minorHAnsi"/>
        </w:rPr>
        <w:t xml:space="preserve"> </w:t>
      </w:r>
      <w:proofErr w:type="spellStart"/>
      <w:r w:rsidR="00C276ED" w:rsidRPr="000C56D8">
        <w:rPr>
          <w:rFonts w:ascii="Cambria" w:hAnsi="Cambria" w:cstheme="minorHAnsi"/>
        </w:rPr>
        <w:t>Comunidad</w:t>
      </w:r>
      <w:proofErr w:type="spellEnd"/>
      <w:r w:rsidR="00C276ED" w:rsidRPr="000C56D8">
        <w:rPr>
          <w:rFonts w:ascii="Cambria" w:hAnsi="Cambria" w:cstheme="minorHAnsi"/>
        </w:rPr>
        <w:t xml:space="preserve"> de </w:t>
      </w:r>
      <w:proofErr w:type="spellStart"/>
      <w:r w:rsidR="00C276ED" w:rsidRPr="000C56D8">
        <w:rPr>
          <w:rFonts w:ascii="Cambria" w:hAnsi="Cambria" w:cstheme="minorHAnsi"/>
        </w:rPr>
        <w:t>Derechos</w:t>
      </w:r>
      <w:proofErr w:type="spellEnd"/>
      <w:r w:rsidR="00C276ED" w:rsidRPr="000C56D8">
        <w:rPr>
          <w:rFonts w:ascii="Cambria" w:hAnsi="Cambria" w:cstheme="minorHAnsi"/>
        </w:rPr>
        <w:t xml:space="preserve"> Humanos interview with X, 2019 (name available on request);</w:t>
      </w:r>
      <w:r w:rsidR="00C276ED" w:rsidRPr="000C56D8">
        <w:rPr>
          <w:rFonts w:ascii="Cambria" w:hAnsi="Cambria" w:cstheme="minorHAnsi"/>
          <w:color w:val="FF0000"/>
        </w:rPr>
        <w:t xml:space="preserve"> </w:t>
      </w:r>
      <w:proofErr w:type="spellStart"/>
      <w:r w:rsidR="00C276ED" w:rsidRPr="000C56D8">
        <w:rPr>
          <w:rFonts w:ascii="Cambria" w:hAnsi="Cambria" w:cstheme="minorHAnsi"/>
        </w:rPr>
        <w:t>Comunidad</w:t>
      </w:r>
      <w:proofErr w:type="spellEnd"/>
      <w:r w:rsidR="00C276ED" w:rsidRPr="000C56D8">
        <w:rPr>
          <w:rFonts w:ascii="Cambria" w:hAnsi="Cambria" w:cstheme="minorHAnsi"/>
        </w:rPr>
        <w:t xml:space="preserve"> de </w:t>
      </w:r>
      <w:proofErr w:type="spellStart"/>
      <w:r w:rsidR="00C276ED" w:rsidRPr="000C56D8">
        <w:rPr>
          <w:rFonts w:ascii="Cambria" w:hAnsi="Cambria" w:cstheme="minorHAnsi"/>
        </w:rPr>
        <w:t>Derechos</w:t>
      </w:r>
      <w:proofErr w:type="spellEnd"/>
      <w:r w:rsidR="00C276ED" w:rsidRPr="000C56D8">
        <w:rPr>
          <w:rFonts w:ascii="Cambria" w:hAnsi="Cambria" w:cstheme="minorHAnsi"/>
        </w:rPr>
        <w:t xml:space="preserve"> Humanos interview with Z, 2019 (name available on request); </w:t>
      </w:r>
      <w:proofErr w:type="spellStart"/>
      <w:r w:rsidR="00C276ED" w:rsidRPr="000C56D8">
        <w:rPr>
          <w:rFonts w:ascii="Cambria" w:hAnsi="Cambria" w:cstheme="minorHAnsi"/>
        </w:rPr>
        <w:t>Comunidad</w:t>
      </w:r>
      <w:proofErr w:type="spellEnd"/>
      <w:r w:rsidR="00C276ED" w:rsidRPr="000C56D8">
        <w:rPr>
          <w:rFonts w:ascii="Cambria" w:hAnsi="Cambria" w:cstheme="minorHAnsi"/>
        </w:rPr>
        <w:t xml:space="preserve"> de </w:t>
      </w:r>
      <w:proofErr w:type="spellStart"/>
      <w:r w:rsidR="00C276ED" w:rsidRPr="000C56D8">
        <w:rPr>
          <w:rFonts w:ascii="Cambria" w:hAnsi="Cambria" w:cstheme="minorHAnsi"/>
        </w:rPr>
        <w:t>Derechos</w:t>
      </w:r>
      <w:proofErr w:type="spellEnd"/>
      <w:r w:rsidR="00C276ED" w:rsidRPr="000C56D8">
        <w:rPr>
          <w:rFonts w:ascii="Cambria" w:hAnsi="Cambria" w:cstheme="minorHAnsi"/>
        </w:rPr>
        <w:t xml:space="preserve"> Humanos interview with B, 2019 (name available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A8"/>
    <w:multiLevelType w:val="hybridMultilevel"/>
    <w:tmpl w:val="126C1A6A"/>
    <w:lvl w:ilvl="0" w:tplc="B41C15DC">
      <w:numFmt w:val="bullet"/>
      <w:lvlText w:val="•"/>
      <w:lvlJc w:val="left"/>
      <w:pPr>
        <w:ind w:left="1440" w:hanging="720"/>
      </w:pPr>
      <w:rPr>
        <w:rFonts w:ascii="Cambria" w:eastAsia="Calibri" w:hAnsi="Cambria"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CAE23EB"/>
    <w:multiLevelType w:val="hybridMultilevel"/>
    <w:tmpl w:val="802CB96A"/>
    <w:lvl w:ilvl="0" w:tplc="89D63F6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00ED0"/>
    <w:multiLevelType w:val="hybridMultilevel"/>
    <w:tmpl w:val="EC504FE8"/>
    <w:lvl w:ilvl="0" w:tplc="2CECC69C">
      <w:start w:val="1"/>
      <w:numFmt w:val="decimal"/>
      <w:lvlText w:val="%1."/>
      <w:lvlJc w:val="left"/>
      <w:pPr>
        <w:ind w:left="567" w:hanging="567"/>
      </w:pPr>
      <w:rPr>
        <w:i w:val="0"/>
      </w:rPr>
    </w:lvl>
    <w:lvl w:ilvl="1" w:tplc="D704456E">
      <w:start w:val="1"/>
      <w:numFmt w:val="lowerLetter"/>
      <w:lvlText w:val="(%2)"/>
      <w:lvlJc w:val="left"/>
      <w:pPr>
        <w:ind w:left="2356" w:hanging="360"/>
      </w:pPr>
    </w:lvl>
    <w:lvl w:ilvl="2" w:tplc="EAA2D116">
      <w:start w:val="1"/>
      <w:numFmt w:val="lowerRoman"/>
      <w:lvlText w:val="%3."/>
      <w:lvlJc w:val="right"/>
      <w:pPr>
        <w:ind w:left="3076" w:hanging="180"/>
      </w:pPr>
    </w:lvl>
    <w:lvl w:ilvl="3" w:tplc="E9C0F480">
      <w:start w:val="1"/>
      <w:numFmt w:val="decimal"/>
      <w:lvlText w:val="%4."/>
      <w:lvlJc w:val="left"/>
      <w:pPr>
        <w:ind w:left="3796" w:hanging="360"/>
      </w:pPr>
    </w:lvl>
    <w:lvl w:ilvl="4" w:tplc="5D585D1E">
      <w:start w:val="1"/>
      <w:numFmt w:val="lowerLetter"/>
      <w:lvlText w:val="%5."/>
      <w:lvlJc w:val="left"/>
      <w:pPr>
        <w:ind w:left="4516" w:hanging="360"/>
      </w:pPr>
    </w:lvl>
    <w:lvl w:ilvl="5" w:tplc="B42A28B6">
      <w:start w:val="1"/>
      <w:numFmt w:val="lowerRoman"/>
      <w:lvlText w:val="%6."/>
      <w:lvlJc w:val="right"/>
      <w:pPr>
        <w:ind w:left="5236" w:hanging="180"/>
      </w:pPr>
    </w:lvl>
    <w:lvl w:ilvl="6" w:tplc="490CAE7E">
      <w:start w:val="1"/>
      <w:numFmt w:val="decimal"/>
      <w:lvlText w:val="%7."/>
      <w:lvlJc w:val="left"/>
      <w:pPr>
        <w:ind w:left="5956" w:hanging="360"/>
      </w:pPr>
    </w:lvl>
    <w:lvl w:ilvl="7" w:tplc="C7EE6884">
      <w:start w:val="1"/>
      <w:numFmt w:val="lowerLetter"/>
      <w:lvlText w:val="%8."/>
      <w:lvlJc w:val="left"/>
      <w:pPr>
        <w:ind w:left="6676" w:hanging="360"/>
      </w:pPr>
    </w:lvl>
    <w:lvl w:ilvl="8" w:tplc="F74A57C0">
      <w:start w:val="1"/>
      <w:numFmt w:val="lowerRoman"/>
      <w:lvlText w:val="%9."/>
      <w:lvlJc w:val="right"/>
      <w:pPr>
        <w:ind w:left="7396" w:hanging="180"/>
      </w:pPr>
    </w:lvl>
  </w:abstractNum>
  <w:abstractNum w:abstractNumId="3" w15:restartNumberingAfterBreak="0">
    <w:nsid w:val="12295F35"/>
    <w:multiLevelType w:val="hybridMultilevel"/>
    <w:tmpl w:val="8BB899B6"/>
    <w:lvl w:ilvl="0" w:tplc="1034DB40">
      <w:start w:val="1"/>
      <w:numFmt w:val="decimal"/>
      <w:lvlText w:val="%1."/>
      <w:lvlJc w:val="left"/>
      <w:pPr>
        <w:ind w:left="720" w:hanging="360"/>
      </w:pPr>
      <w:rPr>
        <w:rFonts w:hint="default"/>
        <w:b w:val="0"/>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A36F1"/>
    <w:multiLevelType w:val="hybridMultilevel"/>
    <w:tmpl w:val="720A6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792736"/>
    <w:multiLevelType w:val="hybridMultilevel"/>
    <w:tmpl w:val="982A094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921CD"/>
    <w:multiLevelType w:val="hybridMultilevel"/>
    <w:tmpl w:val="D0722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BD526F"/>
    <w:multiLevelType w:val="hybridMultilevel"/>
    <w:tmpl w:val="5A4A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B3E2A"/>
    <w:multiLevelType w:val="hybridMultilevel"/>
    <w:tmpl w:val="FEBAB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0" w15:restartNumberingAfterBreak="0">
    <w:nsid w:val="42920C28"/>
    <w:multiLevelType w:val="hybridMultilevel"/>
    <w:tmpl w:val="6E042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D7DDC"/>
    <w:multiLevelType w:val="hybridMultilevel"/>
    <w:tmpl w:val="0720B726"/>
    <w:lvl w:ilvl="0" w:tplc="BDB097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B48E1"/>
    <w:multiLevelType w:val="hybridMultilevel"/>
    <w:tmpl w:val="6670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45E55"/>
    <w:multiLevelType w:val="hybridMultilevel"/>
    <w:tmpl w:val="5B4017C8"/>
    <w:lvl w:ilvl="0" w:tplc="4C827A4C">
      <w:start w:val="2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12C91"/>
    <w:multiLevelType w:val="hybridMultilevel"/>
    <w:tmpl w:val="29284370"/>
    <w:lvl w:ilvl="0" w:tplc="AD566EE0">
      <w:start w:val="1"/>
      <w:numFmt w:val="decimal"/>
      <w:lvlText w:val="%1."/>
      <w:lvlJc w:val="left"/>
      <w:pPr>
        <w:ind w:left="567" w:hanging="567"/>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E60D1B"/>
    <w:multiLevelType w:val="hybridMultilevel"/>
    <w:tmpl w:val="982A094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25F4A"/>
    <w:multiLevelType w:val="hybridMultilevel"/>
    <w:tmpl w:val="3182A082"/>
    <w:lvl w:ilvl="0" w:tplc="A2A41732">
      <w:start w:val="2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47FA3"/>
    <w:multiLevelType w:val="hybridMultilevel"/>
    <w:tmpl w:val="6ED8E8F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7782B47"/>
    <w:multiLevelType w:val="hybridMultilevel"/>
    <w:tmpl w:val="18D87F8E"/>
    <w:lvl w:ilvl="0" w:tplc="1034DB40">
      <w:start w:val="1"/>
      <w:numFmt w:val="decimal"/>
      <w:lvlText w:val="%1."/>
      <w:lvlJc w:val="left"/>
      <w:pPr>
        <w:ind w:left="720" w:hanging="360"/>
      </w:pPr>
      <w:rPr>
        <w:rFonts w:hint="default"/>
        <w:b w:val="0"/>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56C62"/>
    <w:multiLevelType w:val="hybridMultilevel"/>
    <w:tmpl w:val="6518C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4965C0"/>
    <w:multiLevelType w:val="hybridMultilevel"/>
    <w:tmpl w:val="220CAC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7"/>
  </w:num>
  <w:num w:numId="5">
    <w:abstractNumId w:val="19"/>
  </w:num>
  <w:num w:numId="6">
    <w:abstractNumId w:val="10"/>
  </w:num>
  <w:num w:numId="7">
    <w:abstractNumId w:val="18"/>
  </w:num>
  <w:num w:numId="8">
    <w:abstractNumId w:val="15"/>
  </w:num>
  <w:num w:numId="9">
    <w:abstractNumId w:val="5"/>
  </w:num>
  <w:num w:numId="10">
    <w:abstractNumId w:val="0"/>
  </w:num>
  <w:num w:numId="11">
    <w:abstractNumId w:val="0"/>
  </w:num>
  <w:num w:numId="12">
    <w:abstractNumId w:val="3"/>
  </w:num>
  <w:num w:numId="13">
    <w:abstractNumId w:val="6"/>
  </w:num>
  <w:num w:numId="14">
    <w:abstractNumId w:val="8"/>
  </w:num>
  <w:num w:numId="15">
    <w:abstractNumId w:val="4"/>
  </w:num>
  <w:num w:numId="16">
    <w:abstractNumId w:val="13"/>
  </w:num>
  <w:num w:numId="17">
    <w:abstractNumId w:val="16"/>
  </w:num>
  <w:num w:numId="18">
    <w:abstractNumId w:val="1"/>
  </w:num>
  <w:num w:numId="19">
    <w:abstractNumId w:val="2"/>
  </w:num>
  <w:num w:numId="20">
    <w:abstractNumId w:val="14"/>
  </w:num>
  <w:num w:numId="21">
    <w:abstractNumId w:val="9"/>
  </w:num>
  <w:num w:numId="22">
    <w:abstractNumId w:val="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63"/>
    <w:rsid w:val="00007B3F"/>
    <w:rsid w:val="0002313C"/>
    <w:rsid w:val="000565F7"/>
    <w:rsid w:val="00066EDE"/>
    <w:rsid w:val="00091B24"/>
    <w:rsid w:val="000A7269"/>
    <w:rsid w:val="000D6C76"/>
    <w:rsid w:val="000E120A"/>
    <w:rsid w:val="000E31FA"/>
    <w:rsid w:val="000F571E"/>
    <w:rsid w:val="00122E56"/>
    <w:rsid w:val="00132B5D"/>
    <w:rsid w:val="001369BB"/>
    <w:rsid w:val="001B3809"/>
    <w:rsid w:val="001B6060"/>
    <w:rsid w:val="001C03D6"/>
    <w:rsid w:val="001E0BDF"/>
    <w:rsid w:val="001F4E83"/>
    <w:rsid w:val="00224F14"/>
    <w:rsid w:val="00242969"/>
    <w:rsid w:val="002559F2"/>
    <w:rsid w:val="0028282A"/>
    <w:rsid w:val="00296EE2"/>
    <w:rsid w:val="002B59F0"/>
    <w:rsid w:val="002D04B0"/>
    <w:rsid w:val="002E1B8A"/>
    <w:rsid w:val="00314E78"/>
    <w:rsid w:val="00330704"/>
    <w:rsid w:val="00335E27"/>
    <w:rsid w:val="003405B6"/>
    <w:rsid w:val="00343CDB"/>
    <w:rsid w:val="003457C3"/>
    <w:rsid w:val="00355F3D"/>
    <w:rsid w:val="003611BA"/>
    <w:rsid w:val="00366C53"/>
    <w:rsid w:val="0039372E"/>
    <w:rsid w:val="00394F70"/>
    <w:rsid w:val="003A3512"/>
    <w:rsid w:val="003B5207"/>
    <w:rsid w:val="003B5A15"/>
    <w:rsid w:val="003B6C0F"/>
    <w:rsid w:val="003D6CB5"/>
    <w:rsid w:val="003E43F9"/>
    <w:rsid w:val="00407CB9"/>
    <w:rsid w:val="00412EAE"/>
    <w:rsid w:val="00414992"/>
    <w:rsid w:val="00423223"/>
    <w:rsid w:val="00445B64"/>
    <w:rsid w:val="00451A61"/>
    <w:rsid w:val="004921B5"/>
    <w:rsid w:val="00496243"/>
    <w:rsid w:val="004C2220"/>
    <w:rsid w:val="004C3690"/>
    <w:rsid w:val="004E3BA6"/>
    <w:rsid w:val="004E65C9"/>
    <w:rsid w:val="00502837"/>
    <w:rsid w:val="00505A3C"/>
    <w:rsid w:val="00521D69"/>
    <w:rsid w:val="00577F6D"/>
    <w:rsid w:val="005C01CE"/>
    <w:rsid w:val="005C72CA"/>
    <w:rsid w:val="005E61AC"/>
    <w:rsid w:val="005F65C3"/>
    <w:rsid w:val="0061311A"/>
    <w:rsid w:val="00653C8E"/>
    <w:rsid w:val="00656CC6"/>
    <w:rsid w:val="00672A3D"/>
    <w:rsid w:val="00693538"/>
    <w:rsid w:val="006A1C4A"/>
    <w:rsid w:val="006C45BB"/>
    <w:rsid w:val="006C5DA9"/>
    <w:rsid w:val="006D7D26"/>
    <w:rsid w:val="006E012F"/>
    <w:rsid w:val="006E326B"/>
    <w:rsid w:val="00703D1F"/>
    <w:rsid w:val="00710A05"/>
    <w:rsid w:val="00716388"/>
    <w:rsid w:val="00722AAB"/>
    <w:rsid w:val="00723FF0"/>
    <w:rsid w:val="007A34B3"/>
    <w:rsid w:val="007D34C0"/>
    <w:rsid w:val="007D55BF"/>
    <w:rsid w:val="0080651B"/>
    <w:rsid w:val="00822BC9"/>
    <w:rsid w:val="00830E37"/>
    <w:rsid w:val="00854473"/>
    <w:rsid w:val="00857F6F"/>
    <w:rsid w:val="00862A7B"/>
    <w:rsid w:val="0086401A"/>
    <w:rsid w:val="00867264"/>
    <w:rsid w:val="0087205D"/>
    <w:rsid w:val="008A4BA0"/>
    <w:rsid w:val="008B7CDD"/>
    <w:rsid w:val="008C043B"/>
    <w:rsid w:val="008E40FA"/>
    <w:rsid w:val="00907092"/>
    <w:rsid w:val="00907819"/>
    <w:rsid w:val="009410B5"/>
    <w:rsid w:val="00941DA5"/>
    <w:rsid w:val="0094594F"/>
    <w:rsid w:val="00950CB9"/>
    <w:rsid w:val="009751BF"/>
    <w:rsid w:val="009938BB"/>
    <w:rsid w:val="00997EE9"/>
    <w:rsid w:val="009B53C3"/>
    <w:rsid w:val="009C0B6B"/>
    <w:rsid w:val="009D2963"/>
    <w:rsid w:val="00A360C7"/>
    <w:rsid w:val="00A52182"/>
    <w:rsid w:val="00A5730C"/>
    <w:rsid w:val="00A74535"/>
    <w:rsid w:val="00A86F83"/>
    <w:rsid w:val="00A975A0"/>
    <w:rsid w:val="00AB22E6"/>
    <w:rsid w:val="00AE26B6"/>
    <w:rsid w:val="00B12CA8"/>
    <w:rsid w:val="00B250F9"/>
    <w:rsid w:val="00B27D38"/>
    <w:rsid w:val="00B654B4"/>
    <w:rsid w:val="00B750BF"/>
    <w:rsid w:val="00B90B2B"/>
    <w:rsid w:val="00BA0566"/>
    <w:rsid w:val="00BC4FE4"/>
    <w:rsid w:val="00BF0C83"/>
    <w:rsid w:val="00C276ED"/>
    <w:rsid w:val="00C37BA0"/>
    <w:rsid w:val="00C60752"/>
    <w:rsid w:val="00C64299"/>
    <w:rsid w:val="00C70F10"/>
    <w:rsid w:val="00C77147"/>
    <w:rsid w:val="00C77D36"/>
    <w:rsid w:val="00C95D04"/>
    <w:rsid w:val="00CC4EB0"/>
    <w:rsid w:val="00CC680F"/>
    <w:rsid w:val="00CE59BF"/>
    <w:rsid w:val="00CE7D6A"/>
    <w:rsid w:val="00CF38B4"/>
    <w:rsid w:val="00D05203"/>
    <w:rsid w:val="00D140F6"/>
    <w:rsid w:val="00D20821"/>
    <w:rsid w:val="00D33FB1"/>
    <w:rsid w:val="00D4220C"/>
    <w:rsid w:val="00D4469E"/>
    <w:rsid w:val="00D904F3"/>
    <w:rsid w:val="00D97B2B"/>
    <w:rsid w:val="00DA7B57"/>
    <w:rsid w:val="00DB27A7"/>
    <w:rsid w:val="00DB5BC2"/>
    <w:rsid w:val="00DC5F7B"/>
    <w:rsid w:val="00DD100D"/>
    <w:rsid w:val="00DE4549"/>
    <w:rsid w:val="00DF03AF"/>
    <w:rsid w:val="00DF4BDA"/>
    <w:rsid w:val="00E070CE"/>
    <w:rsid w:val="00E549C2"/>
    <w:rsid w:val="00E637FE"/>
    <w:rsid w:val="00E95845"/>
    <w:rsid w:val="00EE48DD"/>
    <w:rsid w:val="00EE4953"/>
    <w:rsid w:val="00F160D7"/>
    <w:rsid w:val="00F32728"/>
    <w:rsid w:val="00F5648B"/>
    <w:rsid w:val="00F635C7"/>
    <w:rsid w:val="00F66412"/>
    <w:rsid w:val="00F7310E"/>
    <w:rsid w:val="00F839BF"/>
    <w:rsid w:val="00F9001F"/>
    <w:rsid w:val="00FC2643"/>
    <w:rsid w:val="00FC3557"/>
    <w:rsid w:val="00FE2C67"/>
    <w:rsid w:val="00FE4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4093"/>
  <w15:chartTrackingRefBased/>
  <w15:docId w15:val="{150BCF1D-1D64-45F1-8082-C1F71E2C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ar,Texto nota pie Car Car Car,FOOTNOTES,fn,single space,Footnote Text Char Char Char,Footnote Text1 Char,Footnote Text2,Footnote Text Char Char Char1 Char,Footnote Text Char Char Char1,ft,ADB,ADB Car,Car,Ref. de nota al pie1,Car Car,FA "/>
    <w:basedOn w:val="Normal"/>
    <w:link w:val="FootnoteTextChar"/>
    <w:uiPriority w:val="99"/>
    <w:unhideWhenUsed/>
    <w:qFormat/>
    <w:rsid w:val="003405B6"/>
    <w:pPr>
      <w:spacing w:after="0" w:line="240" w:lineRule="auto"/>
    </w:pPr>
    <w:rPr>
      <w:rFonts w:ascii="Calibri" w:eastAsia="Calibri" w:hAnsi="Calibri" w:cs="Times New Roman"/>
      <w:sz w:val="20"/>
      <w:szCs w:val="20"/>
    </w:rPr>
  </w:style>
  <w:style w:type="character" w:customStyle="1" w:styleId="FootnoteTextChar">
    <w:name w:val="Footnote Text Char"/>
    <w:aliases w:val=" Car Char,Texto nota pie Car Car Car Char,FOOTNOTES Char,fn Char,single space Char,Footnote Text Char Char Char Char,Footnote Text1 Char Char,Footnote Text2 Char,Footnote Text Char Char Char1 Char Char,ft Char,ADB Char,ADB Car Char"/>
    <w:basedOn w:val="DefaultParagraphFont"/>
    <w:link w:val="FootnoteText"/>
    <w:uiPriority w:val="99"/>
    <w:rsid w:val="003405B6"/>
    <w:rPr>
      <w:rFonts w:ascii="Calibri" w:eastAsia="Calibri" w:hAnsi="Calibri" w:cs="Times New Roman"/>
      <w:sz w:val="20"/>
      <w:szCs w:val="20"/>
    </w:rPr>
  </w:style>
  <w:style w:type="paragraph" w:styleId="ListParagraph">
    <w:name w:val="List Paragraph"/>
    <w:aliases w:val="Superíndice,Fundamentacion,paul2,Footnote,Fase,BULLET Liste,Premier"/>
    <w:basedOn w:val="Normal"/>
    <w:link w:val="ListParagraphChar"/>
    <w:uiPriority w:val="34"/>
    <w:qFormat/>
    <w:rsid w:val="003405B6"/>
    <w:pPr>
      <w:spacing w:after="0" w:line="240" w:lineRule="auto"/>
      <w:ind w:left="720"/>
    </w:pPr>
    <w:rPr>
      <w:rFonts w:ascii="Calibri" w:eastAsia="Calibri" w:hAnsi="Calibri" w:cs="Times New Roman"/>
    </w:rPr>
  </w:style>
  <w:style w:type="character" w:styleId="FootnoteReference">
    <w:name w:val="footnote reference"/>
    <w:aliases w:val="16 Point,4_G,Appel note de bas de page,BVI fnr,Footnote number,Footnotes refss,Marque note bas de page,Rimando nota a piè di pagina,Superscript 6 Point,Texto de nota al pie,Texto nota al pie,f,referencia nota al pie,Times 10 Point,ftr"/>
    <w:link w:val="BVIfnrCarCar1CarCarCar"/>
    <w:uiPriority w:val="99"/>
    <w:unhideWhenUsed/>
    <w:qFormat/>
    <w:rsid w:val="003405B6"/>
    <w:rPr>
      <w:vertAlign w:val="superscript"/>
    </w:rPr>
  </w:style>
  <w:style w:type="character" w:styleId="Hyperlink">
    <w:name w:val="Hyperlink"/>
    <w:basedOn w:val="DefaultParagraphFont"/>
    <w:uiPriority w:val="99"/>
    <w:unhideWhenUsed/>
    <w:rsid w:val="00B750BF"/>
    <w:rPr>
      <w:color w:val="0000FF"/>
      <w:u w:val="single"/>
    </w:rPr>
  </w:style>
  <w:style w:type="character" w:styleId="CommentReference">
    <w:name w:val="annotation reference"/>
    <w:basedOn w:val="DefaultParagraphFont"/>
    <w:uiPriority w:val="99"/>
    <w:semiHidden/>
    <w:unhideWhenUsed/>
    <w:rsid w:val="00D4469E"/>
    <w:rPr>
      <w:sz w:val="16"/>
      <w:szCs w:val="16"/>
    </w:rPr>
  </w:style>
  <w:style w:type="paragraph" w:styleId="CommentText">
    <w:name w:val="annotation text"/>
    <w:basedOn w:val="Normal"/>
    <w:link w:val="CommentTextChar"/>
    <w:uiPriority w:val="99"/>
    <w:semiHidden/>
    <w:unhideWhenUsed/>
    <w:rsid w:val="00D4469E"/>
    <w:pPr>
      <w:spacing w:line="240" w:lineRule="auto"/>
    </w:pPr>
    <w:rPr>
      <w:sz w:val="20"/>
      <w:szCs w:val="20"/>
    </w:rPr>
  </w:style>
  <w:style w:type="character" w:customStyle="1" w:styleId="CommentTextChar">
    <w:name w:val="Comment Text Char"/>
    <w:basedOn w:val="DefaultParagraphFont"/>
    <w:link w:val="CommentText"/>
    <w:uiPriority w:val="99"/>
    <w:semiHidden/>
    <w:rsid w:val="00D4469E"/>
    <w:rPr>
      <w:sz w:val="20"/>
      <w:szCs w:val="20"/>
    </w:rPr>
  </w:style>
  <w:style w:type="paragraph" w:styleId="CommentSubject">
    <w:name w:val="annotation subject"/>
    <w:basedOn w:val="CommentText"/>
    <w:next w:val="CommentText"/>
    <w:link w:val="CommentSubjectChar"/>
    <w:uiPriority w:val="99"/>
    <w:semiHidden/>
    <w:unhideWhenUsed/>
    <w:rsid w:val="00D4469E"/>
    <w:rPr>
      <w:b/>
      <w:bCs/>
    </w:rPr>
  </w:style>
  <w:style w:type="character" w:customStyle="1" w:styleId="CommentSubjectChar">
    <w:name w:val="Comment Subject Char"/>
    <w:basedOn w:val="CommentTextChar"/>
    <w:link w:val="CommentSubject"/>
    <w:uiPriority w:val="99"/>
    <w:semiHidden/>
    <w:rsid w:val="00D4469E"/>
    <w:rPr>
      <w:b/>
      <w:bCs/>
      <w:sz w:val="20"/>
      <w:szCs w:val="20"/>
    </w:rPr>
  </w:style>
  <w:style w:type="paragraph" w:styleId="BalloonText">
    <w:name w:val="Balloon Text"/>
    <w:basedOn w:val="Normal"/>
    <w:link w:val="BalloonTextChar"/>
    <w:uiPriority w:val="99"/>
    <w:semiHidden/>
    <w:unhideWhenUsed/>
    <w:rsid w:val="00D44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69E"/>
    <w:rPr>
      <w:rFonts w:ascii="Segoe UI" w:hAnsi="Segoe UI" w:cs="Segoe UI"/>
      <w:sz w:val="18"/>
      <w:szCs w:val="18"/>
    </w:rPr>
  </w:style>
  <w:style w:type="character" w:styleId="UnresolvedMention">
    <w:name w:val="Unresolved Mention"/>
    <w:basedOn w:val="DefaultParagraphFont"/>
    <w:uiPriority w:val="99"/>
    <w:semiHidden/>
    <w:unhideWhenUsed/>
    <w:rsid w:val="00907092"/>
    <w:rPr>
      <w:color w:val="605E5C"/>
      <w:shd w:val="clear" w:color="auto" w:fill="E1DFDD"/>
    </w:rPr>
  </w:style>
  <w:style w:type="paragraph" w:styleId="EndnoteText">
    <w:name w:val="endnote text"/>
    <w:basedOn w:val="Normal"/>
    <w:link w:val="EndnoteTextChar"/>
    <w:uiPriority w:val="99"/>
    <w:semiHidden/>
    <w:unhideWhenUsed/>
    <w:rsid w:val="000E31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1FA"/>
    <w:rPr>
      <w:sz w:val="20"/>
      <w:szCs w:val="20"/>
    </w:rPr>
  </w:style>
  <w:style w:type="character" w:styleId="EndnoteReference">
    <w:name w:val="endnote reference"/>
    <w:basedOn w:val="DefaultParagraphFont"/>
    <w:uiPriority w:val="99"/>
    <w:semiHidden/>
    <w:unhideWhenUsed/>
    <w:rsid w:val="000E31FA"/>
    <w:rPr>
      <w:vertAlign w:val="superscript"/>
    </w:rPr>
  </w:style>
  <w:style w:type="character" w:styleId="FollowedHyperlink">
    <w:name w:val="FollowedHyperlink"/>
    <w:basedOn w:val="DefaultParagraphFont"/>
    <w:uiPriority w:val="99"/>
    <w:semiHidden/>
    <w:unhideWhenUsed/>
    <w:rsid w:val="00D05203"/>
    <w:rPr>
      <w:color w:val="954F72" w:themeColor="followedHyperlink"/>
      <w:u w:val="single"/>
    </w:rPr>
  </w:style>
  <w:style w:type="character" w:styleId="Emphasis">
    <w:name w:val="Emphasis"/>
    <w:basedOn w:val="DefaultParagraphFont"/>
    <w:uiPriority w:val="20"/>
    <w:qFormat/>
    <w:rsid w:val="00CE59BF"/>
    <w:rPr>
      <w:i/>
      <w:iCs/>
    </w:rPr>
  </w:style>
  <w:style w:type="paragraph" w:customStyle="1" w:styleId="RecitalsAshurst">
    <w:name w:val="RecitalsAshurst"/>
    <w:basedOn w:val="Normal"/>
    <w:uiPriority w:val="26"/>
    <w:rsid w:val="003611BA"/>
    <w:pPr>
      <w:numPr>
        <w:numId w:val="21"/>
      </w:numPr>
      <w:suppressAutoHyphens/>
      <w:spacing w:after="220" w:line="264" w:lineRule="auto"/>
      <w:jc w:val="both"/>
      <w:outlineLvl w:val="0"/>
    </w:pPr>
    <w:rPr>
      <w:rFonts w:eastAsiaTheme="minorEastAsia" w:cs="Times New Roman"/>
      <w:sz w:val="18"/>
      <w:szCs w:val="20"/>
      <w:lang w:eastAsia="zh-TW"/>
    </w:rPr>
  </w:style>
  <w:style w:type="paragraph" w:customStyle="1" w:styleId="BVIfnrCarCar1CarCarCar">
    <w:name w:val="BVI fnr Car Car1 Car Car Car"/>
    <w:aliases w:val="BVI fnr Car Car Car Car1 Car Car Car,BVI fnr Car Car Car Car1 Car1 Car,BVI fnr Car Car Car Car Car Car Car Car Car,BVI fnr Car Car Car Car1 Car Car Car Car Car, BVI fnr Car Car Car Car1 Car Car Car"/>
    <w:basedOn w:val="Normal"/>
    <w:link w:val="FootnoteReference"/>
    <w:uiPriority w:val="99"/>
    <w:rsid w:val="00D97B2B"/>
    <w:pPr>
      <w:spacing w:line="240" w:lineRule="exact"/>
    </w:pPr>
    <w:rPr>
      <w:vertAlign w:val="superscript"/>
    </w:rPr>
  </w:style>
  <w:style w:type="character" w:customStyle="1" w:styleId="ListParagraphChar">
    <w:name w:val="List Paragraph Char"/>
    <w:aliases w:val="Superíndice Char,Fundamentacion Char,paul2 Char,Footnote Char,Fase Char,BULLET Liste Char,Premier Char"/>
    <w:link w:val="ListParagraph"/>
    <w:uiPriority w:val="34"/>
    <w:rsid w:val="00D97B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0624">
      <w:bodyDiv w:val="1"/>
      <w:marLeft w:val="0"/>
      <w:marRight w:val="0"/>
      <w:marTop w:val="0"/>
      <w:marBottom w:val="0"/>
      <w:divBdr>
        <w:top w:val="none" w:sz="0" w:space="0" w:color="auto"/>
        <w:left w:val="none" w:sz="0" w:space="0" w:color="auto"/>
        <w:bottom w:val="none" w:sz="0" w:space="0" w:color="auto"/>
        <w:right w:val="none" w:sz="0" w:space="0" w:color="auto"/>
      </w:divBdr>
    </w:div>
    <w:div w:id="455567329">
      <w:bodyDiv w:val="1"/>
      <w:marLeft w:val="0"/>
      <w:marRight w:val="0"/>
      <w:marTop w:val="0"/>
      <w:marBottom w:val="0"/>
      <w:divBdr>
        <w:top w:val="none" w:sz="0" w:space="0" w:color="auto"/>
        <w:left w:val="none" w:sz="0" w:space="0" w:color="auto"/>
        <w:bottom w:val="none" w:sz="0" w:space="0" w:color="auto"/>
        <w:right w:val="none" w:sz="0" w:space="0" w:color="auto"/>
      </w:divBdr>
    </w:div>
    <w:div w:id="560945068">
      <w:bodyDiv w:val="1"/>
      <w:marLeft w:val="0"/>
      <w:marRight w:val="0"/>
      <w:marTop w:val="0"/>
      <w:marBottom w:val="0"/>
      <w:divBdr>
        <w:top w:val="none" w:sz="0" w:space="0" w:color="auto"/>
        <w:left w:val="none" w:sz="0" w:space="0" w:color="auto"/>
        <w:bottom w:val="none" w:sz="0" w:space="0" w:color="auto"/>
        <w:right w:val="none" w:sz="0" w:space="0" w:color="auto"/>
      </w:divBdr>
    </w:div>
    <w:div w:id="674457357">
      <w:bodyDiv w:val="1"/>
      <w:marLeft w:val="0"/>
      <w:marRight w:val="0"/>
      <w:marTop w:val="0"/>
      <w:marBottom w:val="0"/>
      <w:divBdr>
        <w:top w:val="none" w:sz="0" w:space="0" w:color="auto"/>
        <w:left w:val="none" w:sz="0" w:space="0" w:color="auto"/>
        <w:bottom w:val="none" w:sz="0" w:space="0" w:color="auto"/>
        <w:right w:val="none" w:sz="0" w:space="0" w:color="auto"/>
      </w:divBdr>
    </w:div>
    <w:div w:id="791481880">
      <w:bodyDiv w:val="1"/>
      <w:marLeft w:val="0"/>
      <w:marRight w:val="0"/>
      <w:marTop w:val="0"/>
      <w:marBottom w:val="0"/>
      <w:divBdr>
        <w:top w:val="none" w:sz="0" w:space="0" w:color="auto"/>
        <w:left w:val="none" w:sz="0" w:space="0" w:color="auto"/>
        <w:bottom w:val="none" w:sz="0" w:space="0" w:color="auto"/>
        <w:right w:val="none" w:sz="0" w:space="0" w:color="auto"/>
      </w:divBdr>
    </w:div>
    <w:div w:id="867715974">
      <w:bodyDiv w:val="1"/>
      <w:marLeft w:val="0"/>
      <w:marRight w:val="0"/>
      <w:marTop w:val="0"/>
      <w:marBottom w:val="0"/>
      <w:divBdr>
        <w:top w:val="none" w:sz="0" w:space="0" w:color="auto"/>
        <w:left w:val="none" w:sz="0" w:space="0" w:color="auto"/>
        <w:bottom w:val="none" w:sz="0" w:space="0" w:color="auto"/>
        <w:right w:val="none" w:sz="0" w:space="0" w:color="auto"/>
      </w:divBdr>
    </w:div>
    <w:div w:id="1033338337">
      <w:bodyDiv w:val="1"/>
      <w:marLeft w:val="0"/>
      <w:marRight w:val="0"/>
      <w:marTop w:val="0"/>
      <w:marBottom w:val="0"/>
      <w:divBdr>
        <w:top w:val="none" w:sz="0" w:space="0" w:color="auto"/>
        <w:left w:val="none" w:sz="0" w:space="0" w:color="auto"/>
        <w:bottom w:val="none" w:sz="0" w:space="0" w:color="auto"/>
        <w:right w:val="none" w:sz="0" w:space="0" w:color="auto"/>
      </w:divBdr>
    </w:div>
    <w:div w:id="1062022730">
      <w:bodyDiv w:val="1"/>
      <w:marLeft w:val="0"/>
      <w:marRight w:val="0"/>
      <w:marTop w:val="0"/>
      <w:marBottom w:val="0"/>
      <w:divBdr>
        <w:top w:val="none" w:sz="0" w:space="0" w:color="auto"/>
        <w:left w:val="none" w:sz="0" w:space="0" w:color="auto"/>
        <w:bottom w:val="none" w:sz="0" w:space="0" w:color="auto"/>
        <w:right w:val="none" w:sz="0" w:space="0" w:color="auto"/>
      </w:divBdr>
    </w:div>
    <w:div w:id="1072581570">
      <w:bodyDiv w:val="1"/>
      <w:marLeft w:val="0"/>
      <w:marRight w:val="0"/>
      <w:marTop w:val="0"/>
      <w:marBottom w:val="0"/>
      <w:divBdr>
        <w:top w:val="none" w:sz="0" w:space="0" w:color="auto"/>
        <w:left w:val="none" w:sz="0" w:space="0" w:color="auto"/>
        <w:bottom w:val="none" w:sz="0" w:space="0" w:color="auto"/>
        <w:right w:val="none" w:sz="0" w:space="0" w:color="auto"/>
      </w:divBdr>
    </w:div>
    <w:div w:id="1137146264">
      <w:bodyDiv w:val="1"/>
      <w:marLeft w:val="0"/>
      <w:marRight w:val="0"/>
      <w:marTop w:val="0"/>
      <w:marBottom w:val="0"/>
      <w:divBdr>
        <w:top w:val="none" w:sz="0" w:space="0" w:color="auto"/>
        <w:left w:val="none" w:sz="0" w:space="0" w:color="auto"/>
        <w:bottom w:val="none" w:sz="0" w:space="0" w:color="auto"/>
        <w:right w:val="none" w:sz="0" w:space="0" w:color="auto"/>
      </w:divBdr>
    </w:div>
    <w:div w:id="1186401215">
      <w:bodyDiv w:val="1"/>
      <w:marLeft w:val="0"/>
      <w:marRight w:val="0"/>
      <w:marTop w:val="0"/>
      <w:marBottom w:val="0"/>
      <w:divBdr>
        <w:top w:val="none" w:sz="0" w:space="0" w:color="auto"/>
        <w:left w:val="none" w:sz="0" w:space="0" w:color="auto"/>
        <w:bottom w:val="none" w:sz="0" w:space="0" w:color="auto"/>
        <w:right w:val="none" w:sz="0" w:space="0" w:color="auto"/>
      </w:divBdr>
    </w:div>
    <w:div w:id="1214806956">
      <w:bodyDiv w:val="1"/>
      <w:marLeft w:val="0"/>
      <w:marRight w:val="0"/>
      <w:marTop w:val="0"/>
      <w:marBottom w:val="0"/>
      <w:divBdr>
        <w:top w:val="none" w:sz="0" w:space="0" w:color="auto"/>
        <w:left w:val="none" w:sz="0" w:space="0" w:color="auto"/>
        <w:bottom w:val="none" w:sz="0" w:space="0" w:color="auto"/>
        <w:right w:val="none" w:sz="0" w:space="0" w:color="auto"/>
      </w:divBdr>
    </w:div>
    <w:div w:id="1269387101">
      <w:bodyDiv w:val="1"/>
      <w:marLeft w:val="0"/>
      <w:marRight w:val="0"/>
      <w:marTop w:val="0"/>
      <w:marBottom w:val="0"/>
      <w:divBdr>
        <w:top w:val="none" w:sz="0" w:space="0" w:color="auto"/>
        <w:left w:val="none" w:sz="0" w:space="0" w:color="auto"/>
        <w:bottom w:val="none" w:sz="0" w:space="0" w:color="auto"/>
        <w:right w:val="none" w:sz="0" w:space="0" w:color="auto"/>
      </w:divBdr>
    </w:div>
    <w:div w:id="1559434625">
      <w:bodyDiv w:val="1"/>
      <w:marLeft w:val="0"/>
      <w:marRight w:val="0"/>
      <w:marTop w:val="0"/>
      <w:marBottom w:val="0"/>
      <w:divBdr>
        <w:top w:val="none" w:sz="0" w:space="0" w:color="auto"/>
        <w:left w:val="none" w:sz="0" w:space="0" w:color="auto"/>
        <w:bottom w:val="none" w:sz="0" w:space="0" w:color="auto"/>
        <w:right w:val="none" w:sz="0" w:space="0" w:color="auto"/>
      </w:divBdr>
    </w:div>
    <w:div w:id="1787234418">
      <w:bodyDiv w:val="1"/>
      <w:marLeft w:val="0"/>
      <w:marRight w:val="0"/>
      <w:marTop w:val="0"/>
      <w:marBottom w:val="0"/>
      <w:divBdr>
        <w:top w:val="none" w:sz="0" w:space="0" w:color="auto"/>
        <w:left w:val="none" w:sz="0" w:space="0" w:color="auto"/>
        <w:bottom w:val="none" w:sz="0" w:space="0" w:color="auto"/>
        <w:right w:val="none" w:sz="0" w:space="0" w:color="auto"/>
      </w:divBdr>
    </w:div>
    <w:div w:id="20095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paginasiete.bo/sociedad/2018/5/24/se-presentan-hasta-220-denuncias-por-discriminacion-racismo-al-ano-181054.html" TargetMode="External"/><Relationship Id="rId2" Type="http://schemas.openxmlformats.org/officeDocument/2006/relationships/hyperlink" Target="https://www.equalrightstrust.org/ertdocumentbank/Egypt_EN_online.pdf" TargetMode="External"/><Relationship Id="rId1" Type="http://schemas.openxmlformats.org/officeDocument/2006/relationships/hyperlink" Target="http://www.noracismo.gob.bo/index.php/reporte-denuncias" TargetMode="External"/><Relationship Id="rId5" Type="http://schemas.openxmlformats.org/officeDocument/2006/relationships/hyperlink" Target="https://jurisprudencia.tcpbolivia.bo/" TargetMode="External"/><Relationship Id="rId4" Type="http://schemas.openxmlformats.org/officeDocument/2006/relationships/hyperlink" Target="https://social.shorthand.com/fagutierrez7/32cHnpAcYUf/discriminacion-la-ley-influyo-en-los-dichos-pero-no-en-los-hec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B980A-479D-4249-82B0-059FE4BBF227}">
  <ds:schemaRefs>
    <ds:schemaRef ds:uri="http://schemas.openxmlformats.org/officeDocument/2006/bibliography"/>
  </ds:schemaRefs>
</ds:datastoreItem>
</file>

<file path=customXml/itemProps2.xml><?xml version="1.0" encoding="utf-8"?>
<ds:datastoreItem xmlns:ds="http://schemas.openxmlformats.org/officeDocument/2006/customXml" ds:itemID="{C87A7F68-D4CB-4306-895B-9637F90D000A}"/>
</file>

<file path=customXml/itemProps3.xml><?xml version="1.0" encoding="utf-8"?>
<ds:datastoreItem xmlns:ds="http://schemas.openxmlformats.org/officeDocument/2006/customXml" ds:itemID="{442B5095-5A5A-4B0D-9504-DCBEF33BC2DC}"/>
</file>

<file path=customXml/itemProps4.xml><?xml version="1.0" encoding="utf-8"?>
<ds:datastoreItem xmlns:ds="http://schemas.openxmlformats.org/officeDocument/2006/customXml" ds:itemID="{482CA5BC-822A-490B-80AD-F508F44E72E6}"/>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Savita Narain</dc:creator>
  <cp:keywords/>
  <dc:description/>
  <cp:lastModifiedBy>Savita Narain</cp:lastModifiedBy>
  <cp:revision>2</cp:revision>
  <dcterms:created xsi:type="dcterms:W3CDTF">2019-09-16T15:53:00Z</dcterms:created>
  <dcterms:modified xsi:type="dcterms:W3CDTF">2019-09-16T15:53:00Z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